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27" w:rsidRDefault="00FC1327" w:rsidP="007B1AE1">
      <w:pPr>
        <w:jc w:val="center"/>
        <w:rPr>
          <w:rFonts w:ascii="Times New Roman" w:hAnsi="Times New Roman"/>
          <w:b/>
          <w:sz w:val="32"/>
          <w:szCs w:val="24"/>
        </w:rPr>
      </w:pPr>
    </w:p>
    <w:p w:rsidR="00FC1327" w:rsidRDefault="00FC1327" w:rsidP="007B1AE1">
      <w:pPr>
        <w:jc w:val="center"/>
        <w:rPr>
          <w:rFonts w:ascii="Times New Roman" w:hAnsi="Times New Roman"/>
          <w:b/>
          <w:sz w:val="32"/>
          <w:szCs w:val="24"/>
        </w:rPr>
      </w:pPr>
    </w:p>
    <w:p w:rsidR="00FC1327" w:rsidRDefault="00FC1327" w:rsidP="007B1AE1">
      <w:pPr>
        <w:jc w:val="center"/>
        <w:rPr>
          <w:rFonts w:ascii="Times New Roman" w:hAnsi="Times New Roman"/>
          <w:b/>
          <w:sz w:val="32"/>
          <w:szCs w:val="24"/>
        </w:rPr>
      </w:pPr>
    </w:p>
    <w:p w:rsidR="00FC1327" w:rsidRDefault="00FC1327" w:rsidP="007B1AE1">
      <w:pPr>
        <w:jc w:val="center"/>
        <w:rPr>
          <w:rFonts w:ascii="Times New Roman" w:hAnsi="Times New Roman"/>
          <w:b/>
          <w:sz w:val="32"/>
          <w:szCs w:val="24"/>
        </w:rPr>
      </w:pPr>
    </w:p>
    <w:p w:rsidR="00FC1327" w:rsidRDefault="00FC1327" w:rsidP="007B1AE1">
      <w:pPr>
        <w:jc w:val="center"/>
        <w:rPr>
          <w:rFonts w:ascii="Times New Roman" w:hAnsi="Times New Roman"/>
          <w:b/>
          <w:sz w:val="32"/>
          <w:szCs w:val="24"/>
        </w:rPr>
      </w:pPr>
    </w:p>
    <w:p w:rsidR="00FC1327" w:rsidRPr="00FC1327" w:rsidRDefault="00FC1327" w:rsidP="007B1AE1">
      <w:pPr>
        <w:jc w:val="center"/>
        <w:rPr>
          <w:rFonts w:asciiTheme="majorHAnsi" w:hAnsiTheme="majorHAnsi"/>
          <w:b/>
          <w:sz w:val="32"/>
          <w:szCs w:val="24"/>
        </w:rPr>
      </w:pPr>
    </w:p>
    <w:p w:rsidR="00FC1327" w:rsidRPr="00C22CDB" w:rsidRDefault="00083109" w:rsidP="007B1AE1">
      <w:pPr>
        <w:jc w:val="center"/>
        <w:rPr>
          <w:rFonts w:asciiTheme="majorHAnsi" w:hAnsiTheme="majorHAnsi"/>
          <w:b/>
          <w:spacing w:val="20"/>
          <w:sz w:val="24"/>
          <w:szCs w:val="24"/>
        </w:rPr>
      </w:pPr>
      <w:r w:rsidRPr="00C22CDB">
        <w:rPr>
          <w:rFonts w:asciiTheme="majorHAnsi" w:hAnsiTheme="majorHAnsi"/>
          <w:b/>
          <w:spacing w:val="20"/>
          <w:sz w:val="24"/>
          <w:szCs w:val="24"/>
        </w:rPr>
        <w:t xml:space="preserve">Serologic Protection to Routine Vaccinations in Children </w:t>
      </w:r>
    </w:p>
    <w:p w:rsidR="00083109" w:rsidRPr="00C22CDB" w:rsidRDefault="00083109" w:rsidP="007B1AE1">
      <w:pPr>
        <w:jc w:val="center"/>
        <w:rPr>
          <w:rFonts w:asciiTheme="majorHAnsi" w:hAnsiTheme="majorHAnsi"/>
          <w:b/>
          <w:spacing w:val="20"/>
          <w:sz w:val="24"/>
          <w:szCs w:val="24"/>
        </w:rPr>
      </w:pPr>
      <w:r w:rsidRPr="00C22CDB">
        <w:rPr>
          <w:rFonts w:asciiTheme="majorHAnsi" w:hAnsiTheme="majorHAnsi"/>
          <w:b/>
          <w:spacing w:val="20"/>
          <w:sz w:val="24"/>
          <w:szCs w:val="24"/>
        </w:rPr>
        <w:t>with Inflammatory Bowel Disease</w:t>
      </w:r>
    </w:p>
    <w:p w:rsidR="00713F5D" w:rsidRDefault="00713F5D" w:rsidP="00FC1327">
      <w:pPr>
        <w:pBdr>
          <w:top w:val="single" w:sz="4" w:space="1" w:color="auto"/>
        </w:pBdr>
        <w:jc w:val="center"/>
        <w:rPr>
          <w:rFonts w:asciiTheme="majorHAnsi" w:hAnsiTheme="majorHAnsi"/>
          <w:b/>
          <w:sz w:val="24"/>
          <w:szCs w:val="24"/>
        </w:rPr>
      </w:pPr>
    </w:p>
    <w:p w:rsidR="00713F5D" w:rsidRPr="00FC1327" w:rsidRDefault="00713F5D" w:rsidP="007B1AE1">
      <w:pPr>
        <w:jc w:val="center"/>
        <w:rPr>
          <w:rFonts w:asciiTheme="majorHAnsi" w:hAnsiTheme="majorHAnsi"/>
          <w:i/>
          <w:sz w:val="24"/>
          <w:szCs w:val="24"/>
        </w:rPr>
      </w:pPr>
      <w:r w:rsidRPr="00FC1327">
        <w:rPr>
          <w:rFonts w:asciiTheme="majorHAnsi" w:hAnsiTheme="majorHAnsi"/>
          <w:i/>
          <w:sz w:val="24"/>
          <w:szCs w:val="24"/>
        </w:rPr>
        <w:t>Sharon Feng, Faculty of Medicine</w:t>
      </w:r>
    </w:p>
    <w:p w:rsidR="00713F5D" w:rsidRPr="00FC1327" w:rsidRDefault="00713F5D" w:rsidP="007B1AE1">
      <w:pPr>
        <w:jc w:val="center"/>
        <w:rPr>
          <w:rFonts w:asciiTheme="majorHAnsi" w:hAnsiTheme="majorHAnsi"/>
          <w:i/>
          <w:sz w:val="24"/>
          <w:szCs w:val="24"/>
        </w:rPr>
      </w:pPr>
      <w:r w:rsidRPr="00FC1327">
        <w:rPr>
          <w:rFonts w:asciiTheme="majorHAnsi" w:hAnsiTheme="majorHAnsi"/>
          <w:i/>
          <w:sz w:val="24"/>
          <w:szCs w:val="24"/>
        </w:rPr>
        <w:t>Jennifer deBruyn, Faculty of Medicine</w:t>
      </w:r>
    </w:p>
    <w:p w:rsidR="007B1AE1" w:rsidRDefault="007B1AE1" w:rsidP="007B1AE1">
      <w:pPr>
        <w:jc w:val="center"/>
        <w:rPr>
          <w:rFonts w:asciiTheme="majorHAnsi" w:hAnsiTheme="majorHAnsi"/>
          <w:sz w:val="24"/>
          <w:szCs w:val="24"/>
        </w:rPr>
      </w:pPr>
    </w:p>
    <w:p w:rsidR="00FC1327" w:rsidRDefault="00FC1327" w:rsidP="007B1AE1">
      <w:pPr>
        <w:jc w:val="center"/>
        <w:rPr>
          <w:rFonts w:asciiTheme="majorHAnsi" w:hAnsiTheme="majorHAnsi"/>
          <w:sz w:val="24"/>
          <w:szCs w:val="24"/>
        </w:rPr>
      </w:pPr>
    </w:p>
    <w:p w:rsidR="00FC1327" w:rsidRPr="00FC1327" w:rsidRDefault="00FC1327" w:rsidP="007B1AE1">
      <w:pPr>
        <w:jc w:val="center"/>
        <w:rPr>
          <w:rFonts w:asciiTheme="majorHAnsi" w:hAnsiTheme="majorHAnsi"/>
          <w:sz w:val="24"/>
          <w:szCs w:val="24"/>
        </w:rPr>
      </w:pPr>
    </w:p>
    <w:p w:rsidR="00713F5D" w:rsidRPr="009431A4" w:rsidRDefault="00713F5D" w:rsidP="007B1AE1">
      <w:pPr>
        <w:jc w:val="center"/>
        <w:rPr>
          <w:rFonts w:asciiTheme="majorHAnsi" w:hAnsiTheme="majorHAnsi"/>
          <w:smallCaps/>
          <w:spacing w:val="60"/>
          <w:sz w:val="24"/>
          <w:szCs w:val="24"/>
        </w:rPr>
      </w:pPr>
      <w:r w:rsidRPr="009431A4">
        <w:rPr>
          <w:rFonts w:asciiTheme="majorHAnsi" w:hAnsiTheme="majorHAnsi"/>
          <w:smallCaps/>
          <w:spacing w:val="60"/>
          <w:sz w:val="24"/>
          <w:szCs w:val="24"/>
        </w:rPr>
        <w:t>University of Calgary</w:t>
      </w:r>
    </w:p>
    <w:p w:rsidR="007B1AE1" w:rsidRDefault="007B1AE1" w:rsidP="007B1AE1">
      <w:pPr>
        <w:jc w:val="center"/>
        <w:rPr>
          <w:rFonts w:asciiTheme="majorHAnsi" w:hAnsiTheme="majorHAnsi"/>
          <w:sz w:val="24"/>
          <w:szCs w:val="24"/>
        </w:rPr>
      </w:pPr>
    </w:p>
    <w:p w:rsidR="00FC1327" w:rsidRPr="006C48BA" w:rsidRDefault="007B1AE1" w:rsidP="007B1AE1">
      <w:pPr>
        <w:jc w:val="center"/>
        <w:rPr>
          <w:rFonts w:asciiTheme="majorHAnsi" w:hAnsiTheme="majorHAnsi"/>
          <w:spacing w:val="20"/>
          <w:sz w:val="24"/>
          <w:szCs w:val="24"/>
        </w:rPr>
      </w:pPr>
      <w:r w:rsidRPr="006C48BA">
        <w:rPr>
          <w:rFonts w:asciiTheme="majorHAnsi" w:hAnsiTheme="majorHAnsi"/>
          <w:spacing w:val="20"/>
          <w:sz w:val="24"/>
          <w:szCs w:val="24"/>
        </w:rPr>
        <w:t>Markin U</w:t>
      </w:r>
      <w:r w:rsidR="00FC1327" w:rsidRPr="006C48BA">
        <w:rPr>
          <w:rFonts w:asciiTheme="majorHAnsi" w:hAnsiTheme="majorHAnsi"/>
          <w:spacing w:val="20"/>
          <w:sz w:val="24"/>
          <w:szCs w:val="24"/>
        </w:rPr>
        <w:t>ndergraduate Student Research Program</w:t>
      </w:r>
    </w:p>
    <w:p w:rsidR="007B1AE1" w:rsidRPr="006C48BA" w:rsidRDefault="007B1AE1" w:rsidP="007B1AE1">
      <w:pPr>
        <w:jc w:val="center"/>
        <w:rPr>
          <w:rFonts w:asciiTheme="majorHAnsi" w:hAnsiTheme="majorHAnsi"/>
          <w:spacing w:val="20"/>
          <w:sz w:val="24"/>
          <w:szCs w:val="24"/>
        </w:rPr>
      </w:pPr>
      <w:r w:rsidRPr="006C48BA">
        <w:rPr>
          <w:rFonts w:asciiTheme="majorHAnsi" w:hAnsiTheme="majorHAnsi"/>
          <w:spacing w:val="20"/>
          <w:sz w:val="24"/>
          <w:szCs w:val="24"/>
        </w:rPr>
        <w:t xml:space="preserve"> </w:t>
      </w:r>
      <w:r w:rsidR="00FC1327" w:rsidRPr="006C48BA">
        <w:rPr>
          <w:rFonts w:asciiTheme="majorHAnsi" w:hAnsiTheme="majorHAnsi"/>
          <w:spacing w:val="20"/>
          <w:sz w:val="24"/>
          <w:szCs w:val="24"/>
        </w:rPr>
        <w:t>in Health and Wellness</w:t>
      </w:r>
    </w:p>
    <w:p w:rsidR="007B1AE1" w:rsidRPr="00FC1327" w:rsidRDefault="007B1AE1" w:rsidP="007B1AE1">
      <w:pPr>
        <w:jc w:val="center"/>
        <w:rPr>
          <w:rFonts w:ascii="Times New Roman" w:hAnsi="Times New Roman"/>
          <w:sz w:val="24"/>
          <w:szCs w:val="24"/>
        </w:rPr>
      </w:pPr>
    </w:p>
    <w:p w:rsidR="00083109" w:rsidRPr="00FC1327" w:rsidRDefault="00083109" w:rsidP="007B1AE1">
      <w:pPr>
        <w:spacing w:after="0" w:line="480" w:lineRule="auto"/>
        <w:jc w:val="center"/>
        <w:rPr>
          <w:rFonts w:ascii="Arial" w:hAnsi="Arial" w:cs="Arial"/>
          <w:b/>
          <w:caps/>
          <w:sz w:val="24"/>
          <w:szCs w:val="24"/>
        </w:rPr>
      </w:pPr>
      <w:r w:rsidRPr="00FC1327">
        <w:rPr>
          <w:rFonts w:ascii="Arial" w:hAnsi="Arial" w:cs="Arial"/>
          <w:b/>
          <w:caps/>
          <w:sz w:val="24"/>
          <w:szCs w:val="24"/>
        </w:rPr>
        <w:br w:type="page"/>
      </w:r>
    </w:p>
    <w:p w:rsidR="00083109" w:rsidRPr="00B322CF" w:rsidRDefault="00083109" w:rsidP="00C22CDB">
      <w:pPr>
        <w:autoSpaceDE w:val="0"/>
        <w:autoSpaceDN w:val="0"/>
        <w:adjustRightInd w:val="0"/>
        <w:spacing w:line="480" w:lineRule="auto"/>
        <w:rPr>
          <w:rFonts w:asciiTheme="minorHAnsi" w:hAnsiTheme="minorHAnsi" w:cs="Arial"/>
          <w:b/>
          <w:caps/>
          <w:spacing w:val="40"/>
          <w:sz w:val="24"/>
          <w:szCs w:val="24"/>
          <w:u w:val="single"/>
        </w:rPr>
      </w:pPr>
      <w:r w:rsidRPr="00B322CF">
        <w:rPr>
          <w:rFonts w:asciiTheme="minorHAnsi" w:hAnsiTheme="minorHAnsi" w:cs="Arial"/>
          <w:b/>
          <w:caps/>
          <w:spacing w:val="40"/>
          <w:sz w:val="24"/>
          <w:szCs w:val="24"/>
          <w:u w:val="single"/>
        </w:rPr>
        <w:lastRenderedPageBreak/>
        <w:t>Abstract</w:t>
      </w:r>
    </w:p>
    <w:p w:rsidR="00B322CF" w:rsidRPr="00B322CF" w:rsidRDefault="00FC5347" w:rsidP="00B322CF">
      <w:pPr>
        <w:autoSpaceDE w:val="0"/>
        <w:autoSpaceDN w:val="0"/>
        <w:adjustRightInd w:val="0"/>
        <w:spacing w:line="480" w:lineRule="auto"/>
        <w:jc w:val="both"/>
        <w:rPr>
          <w:rFonts w:asciiTheme="majorHAnsi" w:hAnsiTheme="majorHAnsi" w:cs="Arial"/>
          <w:sz w:val="24"/>
          <w:szCs w:val="24"/>
        </w:rPr>
      </w:pPr>
      <w:r w:rsidRPr="00B322CF">
        <w:rPr>
          <w:rFonts w:asciiTheme="majorHAnsi" w:hAnsiTheme="majorHAnsi" w:cs="Arial"/>
          <w:caps/>
          <w:sz w:val="24"/>
          <w:szCs w:val="24"/>
        </w:rPr>
        <w:t>Background:</w:t>
      </w:r>
      <w:r w:rsidRPr="00B322CF">
        <w:rPr>
          <w:rFonts w:asciiTheme="majorHAnsi" w:hAnsiTheme="majorHAnsi" w:cs="Arial"/>
          <w:sz w:val="24"/>
          <w:szCs w:val="24"/>
        </w:rPr>
        <w:t xml:space="preserve"> </w:t>
      </w:r>
      <w:r w:rsidR="00B322CF" w:rsidRPr="00B322CF">
        <w:rPr>
          <w:rFonts w:asciiTheme="majorHAnsi" w:hAnsiTheme="majorHAnsi" w:cs="Arial"/>
          <w:sz w:val="24"/>
          <w:szCs w:val="24"/>
        </w:rPr>
        <w:t>Treatment for inflammatory bowel disease [IBD] frequently involves the aggressive use of immunosuppressants that increases susceptibility to and severity of other infections. Consequently, many individuals postpone or refuse immunizations due to unstable disease activity and of fear of disease exacerbation. The aim was to evaluate serologic protection to and completeness of routine vaccinations in children with IBD.</w:t>
      </w:r>
    </w:p>
    <w:p w:rsidR="00B322CF" w:rsidRPr="00B322CF" w:rsidRDefault="00FC5347" w:rsidP="00B322CF">
      <w:pPr>
        <w:autoSpaceDE w:val="0"/>
        <w:autoSpaceDN w:val="0"/>
        <w:adjustRightInd w:val="0"/>
        <w:spacing w:line="480" w:lineRule="auto"/>
        <w:jc w:val="both"/>
        <w:rPr>
          <w:rFonts w:asciiTheme="majorHAnsi" w:hAnsiTheme="majorHAnsi" w:cs="Arial"/>
          <w:sz w:val="24"/>
          <w:szCs w:val="24"/>
        </w:rPr>
      </w:pPr>
      <w:r w:rsidRPr="00B322CF">
        <w:rPr>
          <w:rFonts w:asciiTheme="majorHAnsi" w:hAnsiTheme="majorHAnsi" w:cs="Arial"/>
          <w:caps/>
          <w:sz w:val="24"/>
          <w:szCs w:val="24"/>
        </w:rPr>
        <w:t>Methods:</w:t>
      </w:r>
      <w:r w:rsidRPr="00B322CF">
        <w:rPr>
          <w:rFonts w:asciiTheme="majorHAnsi" w:hAnsiTheme="majorHAnsi" w:cs="Arial"/>
          <w:sz w:val="24"/>
          <w:szCs w:val="24"/>
        </w:rPr>
        <w:t xml:space="preserve"> </w:t>
      </w:r>
      <w:r w:rsidR="00B322CF" w:rsidRPr="00B322CF">
        <w:rPr>
          <w:rFonts w:asciiTheme="majorHAnsi" w:hAnsiTheme="majorHAnsi" w:cs="Arial"/>
          <w:sz w:val="24"/>
          <w:szCs w:val="24"/>
        </w:rPr>
        <w:t xml:space="preserve">In this single-center cross-sectional study, children with IBD followed at the Alberta Children's Hospital were recruited from September 15, 2011 to August 15, 2012. Demographic data, IBD medication use, infection risk factors, and vaccination records were collected. Serum was also collected for rubella, hepatitis A virus [HAV], and hepatitis B virus [HBV] serology and analyzed by the Provincial Laboratory of Public Health. From review of vaccination records, the proportion with complete series for each vaccine according to the Alberta schedule (at age of vaccination) was evaluated. </w:t>
      </w:r>
    </w:p>
    <w:p w:rsidR="00B322CF" w:rsidRPr="00B322CF" w:rsidRDefault="00FC5347" w:rsidP="00B322CF">
      <w:pPr>
        <w:spacing w:line="480" w:lineRule="auto"/>
        <w:jc w:val="both"/>
        <w:rPr>
          <w:rFonts w:ascii="Perpetua" w:hAnsi="Perpetua" w:cs="Arial"/>
          <w:sz w:val="24"/>
          <w:szCs w:val="24"/>
        </w:rPr>
      </w:pPr>
      <w:r w:rsidRPr="00B322CF">
        <w:rPr>
          <w:rFonts w:asciiTheme="majorHAnsi" w:hAnsiTheme="majorHAnsi" w:cs="Arial"/>
          <w:caps/>
          <w:sz w:val="24"/>
          <w:szCs w:val="24"/>
        </w:rPr>
        <w:t>Results:</w:t>
      </w:r>
      <w:r w:rsidR="00B322CF" w:rsidRPr="00B322CF">
        <w:rPr>
          <w:rFonts w:asciiTheme="majorHAnsi" w:hAnsiTheme="majorHAnsi" w:cs="Arial"/>
          <w:caps/>
          <w:sz w:val="24"/>
          <w:szCs w:val="24"/>
        </w:rPr>
        <w:t xml:space="preserve"> </w:t>
      </w:r>
      <w:r w:rsidR="00B322CF" w:rsidRPr="00B322CF">
        <w:rPr>
          <w:rFonts w:asciiTheme="majorHAnsi" w:hAnsiTheme="majorHAnsi" w:cs="Arial"/>
          <w:sz w:val="24"/>
          <w:szCs w:val="24"/>
        </w:rPr>
        <w:t xml:space="preserve">155 children with IBD (93 </w:t>
      </w:r>
      <w:proofErr w:type="spellStart"/>
      <w:r w:rsidR="00B322CF" w:rsidRPr="00B322CF">
        <w:rPr>
          <w:rFonts w:asciiTheme="majorHAnsi" w:hAnsiTheme="majorHAnsi" w:cs="Arial"/>
          <w:sz w:val="24"/>
          <w:szCs w:val="24"/>
        </w:rPr>
        <w:t>Crohn’s</w:t>
      </w:r>
      <w:proofErr w:type="spellEnd"/>
      <w:r w:rsidR="00B322CF" w:rsidRPr="00B322CF">
        <w:rPr>
          <w:rFonts w:asciiTheme="majorHAnsi" w:hAnsiTheme="majorHAnsi" w:cs="Arial"/>
          <w:sz w:val="24"/>
          <w:szCs w:val="24"/>
        </w:rPr>
        <w:t xml:space="preserve"> disease, </w:t>
      </w:r>
      <w:proofErr w:type="gramStart"/>
      <w:r w:rsidR="00B322CF" w:rsidRPr="00B322CF">
        <w:rPr>
          <w:rFonts w:asciiTheme="majorHAnsi" w:hAnsiTheme="majorHAnsi" w:cs="Arial"/>
          <w:sz w:val="24"/>
          <w:szCs w:val="24"/>
        </w:rPr>
        <w:t>46 ulcerative colitis, 16 IBD-unclassified</w:t>
      </w:r>
      <w:proofErr w:type="gramEnd"/>
      <w:r w:rsidR="00B322CF" w:rsidRPr="00B322CF">
        <w:rPr>
          <w:rFonts w:asciiTheme="majorHAnsi" w:hAnsiTheme="majorHAnsi" w:cs="Arial"/>
          <w:sz w:val="24"/>
          <w:szCs w:val="24"/>
        </w:rPr>
        <w:t>) underwent serum collection; complete vaccine records were available for 152 of these children. At enrolment, 93 subjects (60%) were currently using immunosuppressive medications (systemic corticosteroids n=20; immunomodulators n=70; and biologic n=48); an additional 30 subjects had a past history of immunosuppressive medication use.</w:t>
      </w:r>
      <w:r w:rsidR="00B322CF" w:rsidRPr="00B322CF">
        <w:rPr>
          <w:rFonts w:ascii="Perpetua" w:hAnsi="Perpetua" w:cs="Arial"/>
          <w:sz w:val="24"/>
          <w:szCs w:val="24"/>
        </w:rPr>
        <w:t xml:space="preserve"> </w:t>
      </w:r>
    </w:p>
    <w:p w:rsidR="006D4029" w:rsidRPr="00B322CF" w:rsidRDefault="00135CA4" w:rsidP="00B322CF">
      <w:pPr>
        <w:spacing w:line="480" w:lineRule="auto"/>
        <w:jc w:val="both"/>
        <w:rPr>
          <w:rFonts w:asciiTheme="majorHAnsi" w:hAnsiTheme="majorHAnsi" w:cs="Arial"/>
          <w:sz w:val="24"/>
          <w:szCs w:val="24"/>
        </w:rPr>
      </w:pPr>
      <w:r w:rsidRPr="00B322CF">
        <w:rPr>
          <w:rFonts w:asciiTheme="majorHAnsi" w:hAnsiTheme="majorHAnsi" w:cs="Arial"/>
          <w:sz w:val="24"/>
          <w:szCs w:val="24"/>
        </w:rPr>
        <w:t xml:space="preserve">Of 155 </w:t>
      </w:r>
      <w:r w:rsidR="00B7515F" w:rsidRPr="00B322CF">
        <w:rPr>
          <w:rFonts w:asciiTheme="majorHAnsi" w:hAnsiTheme="majorHAnsi" w:cs="Arial"/>
          <w:sz w:val="24"/>
          <w:szCs w:val="24"/>
        </w:rPr>
        <w:t>participants</w:t>
      </w:r>
      <w:r w:rsidRPr="00B322CF">
        <w:rPr>
          <w:rFonts w:asciiTheme="majorHAnsi" w:hAnsiTheme="majorHAnsi" w:cs="Arial"/>
          <w:sz w:val="24"/>
          <w:szCs w:val="24"/>
        </w:rPr>
        <w:t xml:space="preserve">, </w:t>
      </w:r>
      <w:r w:rsidR="00BD5055" w:rsidRPr="00B322CF">
        <w:rPr>
          <w:rFonts w:asciiTheme="majorHAnsi" w:hAnsiTheme="majorHAnsi" w:cs="Arial"/>
          <w:sz w:val="24"/>
          <w:szCs w:val="24"/>
        </w:rPr>
        <w:t>69.7</w:t>
      </w:r>
      <w:r w:rsidR="006D4029" w:rsidRPr="00B322CF">
        <w:rPr>
          <w:rFonts w:asciiTheme="majorHAnsi" w:hAnsiTheme="majorHAnsi" w:cs="Arial"/>
          <w:sz w:val="24"/>
          <w:szCs w:val="24"/>
        </w:rPr>
        <w:t xml:space="preserve">% </w:t>
      </w:r>
      <w:r w:rsidR="008F3683" w:rsidRPr="00B322CF">
        <w:rPr>
          <w:rFonts w:asciiTheme="majorHAnsi" w:hAnsiTheme="majorHAnsi" w:cs="Arial"/>
          <w:sz w:val="24"/>
          <w:szCs w:val="24"/>
        </w:rPr>
        <w:t>had up to date</w:t>
      </w:r>
      <w:r w:rsidRPr="00B322CF">
        <w:rPr>
          <w:rFonts w:asciiTheme="majorHAnsi" w:hAnsiTheme="majorHAnsi" w:cs="Arial"/>
          <w:sz w:val="24"/>
          <w:szCs w:val="24"/>
        </w:rPr>
        <w:t xml:space="preserve"> </w:t>
      </w:r>
      <w:r w:rsidR="00E65849" w:rsidRPr="00B322CF">
        <w:rPr>
          <w:rFonts w:asciiTheme="majorHAnsi" w:hAnsiTheme="majorHAnsi"/>
          <w:sz w:val="24"/>
          <w:szCs w:val="24"/>
        </w:rPr>
        <w:t xml:space="preserve">MMR, </w:t>
      </w:r>
      <w:proofErr w:type="spellStart"/>
      <w:r w:rsidR="00E65849" w:rsidRPr="00B322CF">
        <w:rPr>
          <w:rFonts w:asciiTheme="majorHAnsi" w:hAnsiTheme="majorHAnsi"/>
          <w:sz w:val="24"/>
          <w:szCs w:val="24"/>
        </w:rPr>
        <w:t>DTap</w:t>
      </w:r>
      <w:proofErr w:type="spellEnd"/>
      <w:r w:rsidR="00E65849" w:rsidRPr="00B322CF">
        <w:rPr>
          <w:rFonts w:asciiTheme="majorHAnsi" w:hAnsiTheme="majorHAnsi"/>
          <w:sz w:val="24"/>
          <w:szCs w:val="24"/>
        </w:rPr>
        <w:t>-IPV-</w:t>
      </w:r>
      <w:proofErr w:type="spellStart"/>
      <w:r w:rsidR="008F3683" w:rsidRPr="00B322CF">
        <w:rPr>
          <w:rFonts w:asciiTheme="majorHAnsi" w:hAnsiTheme="majorHAnsi"/>
          <w:sz w:val="24"/>
          <w:szCs w:val="24"/>
        </w:rPr>
        <w:t>Hib</w:t>
      </w:r>
      <w:proofErr w:type="spellEnd"/>
      <w:r w:rsidR="008F3683" w:rsidRPr="00B322CF">
        <w:rPr>
          <w:rFonts w:asciiTheme="majorHAnsi" w:hAnsiTheme="majorHAnsi"/>
          <w:sz w:val="24"/>
          <w:szCs w:val="24"/>
        </w:rPr>
        <w:t>, and HBV</w:t>
      </w:r>
      <w:r w:rsidR="008F3683" w:rsidRPr="00B322CF">
        <w:rPr>
          <w:rFonts w:asciiTheme="majorHAnsi" w:hAnsiTheme="majorHAnsi" w:cs="Arial"/>
          <w:sz w:val="24"/>
          <w:szCs w:val="24"/>
        </w:rPr>
        <w:t xml:space="preserve"> </w:t>
      </w:r>
      <w:r w:rsidR="00B7515F" w:rsidRPr="00B322CF">
        <w:rPr>
          <w:rFonts w:asciiTheme="majorHAnsi" w:hAnsiTheme="majorHAnsi" w:cs="Arial"/>
          <w:sz w:val="24"/>
          <w:szCs w:val="24"/>
        </w:rPr>
        <w:t>immunizations</w:t>
      </w:r>
      <w:r w:rsidRPr="00B322CF">
        <w:rPr>
          <w:rFonts w:asciiTheme="majorHAnsi" w:hAnsiTheme="majorHAnsi" w:cs="Arial"/>
          <w:sz w:val="24"/>
          <w:szCs w:val="24"/>
        </w:rPr>
        <w:t xml:space="preserve">. Of 152 </w:t>
      </w:r>
      <w:r w:rsidR="00B7515F" w:rsidRPr="00B322CF">
        <w:rPr>
          <w:rFonts w:asciiTheme="majorHAnsi" w:hAnsiTheme="majorHAnsi" w:cs="Arial"/>
          <w:sz w:val="24"/>
          <w:szCs w:val="24"/>
        </w:rPr>
        <w:t>participants</w:t>
      </w:r>
      <w:r w:rsidRPr="00B322CF">
        <w:rPr>
          <w:rFonts w:asciiTheme="majorHAnsi" w:hAnsiTheme="majorHAnsi" w:cs="Arial"/>
          <w:sz w:val="24"/>
          <w:szCs w:val="24"/>
        </w:rPr>
        <w:t>,</w:t>
      </w:r>
      <w:r w:rsidR="006D4029" w:rsidRPr="00B322CF">
        <w:rPr>
          <w:rFonts w:asciiTheme="majorHAnsi" w:hAnsiTheme="majorHAnsi" w:cs="Arial"/>
          <w:sz w:val="24"/>
          <w:szCs w:val="24"/>
        </w:rPr>
        <w:t xml:space="preserve"> 81.9% </w:t>
      </w:r>
      <w:r w:rsidRPr="00B322CF">
        <w:rPr>
          <w:rFonts w:asciiTheme="majorHAnsi" w:hAnsiTheme="majorHAnsi" w:cs="Arial"/>
          <w:sz w:val="24"/>
          <w:szCs w:val="24"/>
        </w:rPr>
        <w:t xml:space="preserve">mounted </w:t>
      </w:r>
      <w:r w:rsidR="006D4029" w:rsidRPr="00B322CF">
        <w:rPr>
          <w:rFonts w:asciiTheme="majorHAnsi" w:hAnsiTheme="majorHAnsi" w:cs="Arial"/>
          <w:sz w:val="24"/>
          <w:szCs w:val="24"/>
        </w:rPr>
        <w:t xml:space="preserve">serologic </w:t>
      </w:r>
      <w:r w:rsidRPr="00B322CF">
        <w:rPr>
          <w:rFonts w:asciiTheme="majorHAnsi" w:hAnsiTheme="majorHAnsi" w:cs="Arial"/>
          <w:sz w:val="24"/>
          <w:szCs w:val="24"/>
        </w:rPr>
        <w:t xml:space="preserve">protection </w:t>
      </w:r>
      <w:r w:rsidR="006D4029" w:rsidRPr="00B322CF">
        <w:rPr>
          <w:rFonts w:asciiTheme="majorHAnsi" w:hAnsiTheme="majorHAnsi" w:cs="Arial"/>
          <w:sz w:val="24"/>
          <w:szCs w:val="24"/>
        </w:rPr>
        <w:t xml:space="preserve">to rubella; 20.6% to hepatitis A, and 65.8% to hepatitis B. </w:t>
      </w:r>
      <w:r w:rsidR="00B322CF" w:rsidRPr="00B322CF">
        <w:rPr>
          <w:rFonts w:asciiTheme="majorHAnsi" w:hAnsiTheme="majorHAnsi" w:cs="Arial"/>
          <w:sz w:val="24"/>
          <w:szCs w:val="24"/>
        </w:rPr>
        <w:t xml:space="preserve">Of those who had completed the specific vaccinations, serologic </w:t>
      </w:r>
      <w:r w:rsidR="00B322CF" w:rsidRPr="00B322CF">
        <w:rPr>
          <w:rFonts w:asciiTheme="majorHAnsi" w:hAnsiTheme="majorHAnsi" w:cs="Arial"/>
          <w:sz w:val="24"/>
          <w:szCs w:val="24"/>
        </w:rPr>
        <w:lastRenderedPageBreak/>
        <w:t>immunity was mounted by 113 of the 142 participants (79.6%) to rubella, 79 of the 114 participants (69.3%) to HBV, and 100% of the participants to HAV.</w:t>
      </w:r>
    </w:p>
    <w:p w:rsidR="000B5E8C" w:rsidRDefault="00FC5347" w:rsidP="004260E2">
      <w:pPr>
        <w:spacing w:after="0" w:line="480" w:lineRule="auto"/>
        <w:jc w:val="both"/>
        <w:rPr>
          <w:rFonts w:asciiTheme="minorHAnsi" w:hAnsiTheme="minorHAnsi" w:cs="Arial"/>
          <w:b/>
          <w:caps/>
          <w:spacing w:val="40"/>
          <w:sz w:val="24"/>
          <w:szCs w:val="24"/>
          <w:u w:val="single"/>
        </w:rPr>
      </w:pPr>
      <w:r w:rsidRPr="00B322CF">
        <w:rPr>
          <w:rFonts w:asciiTheme="majorHAnsi" w:hAnsiTheme="majorHAnsi" w:cs="Arial"/>
          <w:caps/>
          <w:sz w:val="24"/>
          <w:szCs w:val="24"/>
        </w:rPr>
        <w:t>Conclusions:</w:t>
      </w:r>
      <w:r w:rsidR="006D4029" w:rsidRPr="00B322CF">
        <w:rPr>
          <w:rFonts w:asciiTheme="majorHAnsi" w:hAnsiTheme="majorHAnsi" w:cs="Arial"/>
          <w:sz w:val="24"/>
          <w:szCs w:val="24"/>
        </w:rPr>
        <w:t xml:space="preserve"> </w:t>
      </w:r>
      <w:r w:rsidR="00B322CF" w:rsidRPr="00B322CF">
        <w:rPr>
          <w:rFonts w:asciiTheme="majorHAnsi" w:hAnsiTheme="majorHAnsi" w:cs="Arial"/>
          <w:sz w:val="24"/>
          <w:szCs w:val="24"/>
        </w:rPr>
        <w:t>Children with IBD are at risk for vaccine-preventable illnesses due to lack of receiving complete vaccine series and mounting an inadequate serologic response to vaccinations. Therefore, clinicians caring for patients with IBD should be conscientious about adherence to recommended vaccination schedules, measurement of immune response to vaccines, and administering booster vaccinations where appropriate.</w:t>
      </w:r>
    </w:p>
    <w:p w:rsidR="00231C23" w:rsidRDefault="00231C23" w:rsidP="008F3683">
      <w:pPr>
        <w:autoSpaceDE w:val="0"/>
        <w:autoSpaceDN w:val="0"/>
        <w:adjustRightInd w:val="0"/>
        <w:spacing w:after="0" w:line="480" w:lineRule="auto"/>
        <w:jc w:val="both"/>
        <w:rPr>
          <w:rFonts w:asciiTheme="minorHAnsi" w:hAnsiTheme="minorHAnsi" w:cs="Arial"/>
          <w:b/>
          <w:caps/>
          <w:spacing w:val="40"/>
          <w:sz w:val="24"/>
          <w:szCs w:val="24"/>
          <w:u w:val="single"/>
        </w:rPr>
      </w:pPr>
    </w:p>
    <w:p w:rsidR="00083109" w:rsidRPr="00597E47" w:rsidRDefault="00083109" w:rsidP="008F3683">
      <w:pPr>
        <w:autoSpaceDE w:val="0"/>
        <w:autoSpaceDN w:val="0"/>
        <w:adjustRightInd w:val="0"/>
        <w:spacing w:after="0" w:line="480" w:lineRule="auto"/>
        <w:jc w:val="both"/>
        <w:rPr>
          <w:rFonts w:asciiTheme="minorHAnsi" w:hAnsiTheme="minorHAnsi" w:cs="Arial"/>
          <w:b/>
          <w:caps/>
          <w:spacing w:val="40"/>
          <w:sz w:val="24"/>
          <w:szCs w:val="24"/>
          <w:u w:val="single"/>
        </w:rPr>
      </w:pPr>
      <w:r w:rsidRPr="00597E47">
        <w:rPr>
          <w:rFonts w:asciiTheme="minorHAnsi" w:hAnsiTheme="minorHAnsi" w:cs="Arial"/>
          <w:b/>
          <w:caps/>
          <w:spacing w:val="40"/>
          <w:sz w:val="24"/>
          <w:szCs w:val="24"/>
          <w:u w:val="single"/>
        </w:rPr>
        <w:t>Introduction</w:t>
      </w:r>
    </w:p>
    <w:p w:rsidR="00D60262" w:rsidRDefault="002C6431" w:rsidP="00DA3DED">
      <w:pPr>
        <w:autoSpaceDE w:val="0"/>
        <w:autoSpaceDN w:val="0"/>
        <w:adjustRightInd w:val="0"/>
        <w:spacing w:after="0" w:line="480" w:lineRule="auto"/>
        <w:jc w:val="both"/>
        <w:rPr>
          <w:rFonts w:asciiTheme="majorHAnsi" w:hAnsiTheme="majorHAnsi" w:cs="Arial"/>
          <w:sz w:val="24"/>
          <w:szCs w:val="24"/>
        </w:rPr>
      </w:pPr>
      <w:r w:rsidRPr="00B108FB">
        <w:rPr>
          <w:rFonts w:asciiTheme="majorHAnsi" w:hAnsiTheme="majorHAnsi" w:cs="Arial"/>
          <w:sz w:val="24"/>
          <w:szCs w:val="24"/>
        </w:rPr>
        <w:t>Inflammatory bowel disease</w:t>
      </w:r>
      <w:r>
        <w:rPr>
          <w:rFonts w:asciiTheme="majorHAnsi" w:hAnsiTheme="majorHAnsi" w:cs="Arial"/>
          <w:sz w:val="24"/>
          <w:szCs w:val="24"/>
        </w:rPr>
        <w:t xml:space="preserve"> (IBD</w:t>
      </w:r>
      <w:r w:rsidRPr="00A324FF">
        <w:rPr>
          <w:rFonts w:asciiTheme="majorHAnsi" w:hAnsiTheme="majorHAnsi" w:cs="Arial"/>
          <w:sz w:val="24"/>
          <w:szCs w:val="24"/>
        </w:rPr>
        <w:t xml:space="preserve">) is </w:t>
      </w:r>
      <w:r w:rsidR="00AF559B">
        <w:rPr>
          <w:rFonts w:asciiTheme="majorHAnsi" w:hAnsiTheme="majorHAnsi" w:cs="Arial"/>
          <w:sz w:val="24"/>
          <w:szCs w:val="24"/>
        </w:rPr>
        <w:t>a</w:t>
      </w:r>
      <w:r w:rsidRPr="00A324FF">
        <w:rPr>
          <w:rFonts w:asciiTheme="majorHAnsi" w:hAnsiTheme="majorHAnsi" w:cs="Arial"/>
          <w:sz w:val="24"/>
          <w:szCs w:val="24"/>
        </w:rPr>
        <w:t xml:space="preserve"> </w:t>
      </w:r>
      <w:r w:rsidR="00093C46" w:rsidRPr="003E0603">
        <w:rPr>
          <w:rFonts w:asciiTheme="majorHAnsi" w:hAnsiTheme="majorHAnsi" w:cs="Arial"/>
          <w:sz w:val="24"/>
          <w:szCs w:val="24"/>
        </w:rPr>
        <w:t xml:space="preserve">chronic relapsing and remitting </w:t>
      </w:r>
      <w:r w:rsidR="00AF559B">
        <w:rPr>
          <w:rFonts w:asciiTheme="majorHAnsi" w:hAnsiTheme="majorHAnsi" w:cs="Arial"/>
          <w:sz w:val="24"/>
          <w:szCs w:val="24"/>
        </w:rPr>
        <w:t xml:space="preserve">condition of </w:t>
      </w:r>
      <w:r w:rsidR="00093C46" w:rsidRPr="003E0603">
        <w:rPr>
          <w:rFonts w:asciiTheme="majorHAnsi" w:hAnsiTheme="majorHAnsi" w:cs="Arial"/>
          <w:sz w:val="24"/>
          <w:szCs w:val="24"/>
        </w:rPr>
        <w:t xml:space="preserve">inflammation </w:t>
      </w:r>
      <w:r w:rsidR="00AF559B">
        <w:rPr>
          <w:rFonts w:asciiTheme="majorHAnsi" w:hAnsiTheme="majorHAnsi" w:cs="Arial"/>
          <w:sz w:val="24"/>
          <w:szCs w:val="24"/>
        </w:rPr>
        <w:t>in</w:t>
      </w:r>
      <w:r w:rsidR="00093C46" w:rsidRPr="003E0603">
        <w:rPr>
          <w:rFonts w:asciiTheme="majorHAnsi" w:hAnsiTheme="majorHAnsi" w:cs="Arial"/>
          <w:sz w:val="24"/>
          <w:szCs w:val="24"/>
        </w:rPr>
        <w:t xml:space="preserve"> the </w:t>
      </w:r>
      <w:r w:rsidR="00AF559B">
        <w:rPr>
          <w:rFonts w:asciiTheme="majorHAnsi" w:hAnsiTheme="majorHAnsi" w:cs="Arial"/>
          <w:sz w:val="24"/>
          <w:szCs w:val="24"/>
        </w:rPr>
        <w:t>gastrointestinal</w:t>
      </w:r>
      <w:r w:rsidR="00093C46" w:rsidRPr="003E0603">
        <w:rPr>
          <w:rFonts w:asciiTheme="majorHAnsi" w:hAnsiTheme="majorHAnsi" w:cs="Arial"/>
          <w:sz w:val="24"/>
          <w:szCs w:val="24"/>
        </w:rPr>
        <w:t xml:space="preserve"> tract</w:t>
      </w:r>
      <w:r w:rsidR="009431A4">
        <w:rPr>
          <w:rFonts w:asciiTheme="majorHAnsi" w:hAnsiTheme="majorHAnsi" w:cs="Arial"/>
          <w:sz w:val="24"/>
          <w:szCs w:val="24"/>
        </w:rPr>
        <w:t xml:space="preserve">. </w:t>
      </w:r>
      <w:r w:rsidR="00AF559B">
        <w:rPr>
          <w:rFonts w:asciiTheme="majorHAnsi" w:hAnsiTheme="majorHAnsi" w:cs="Arial"/>
          <w:sz w:val="24"/>
          <w:szCs w:val="24"/>
        </w:rPr>
        <w:t>It is an</w:t>
      </w:r>
      <w:r w:rsidR="0088252D">
        <w:rPr>
          <w:rFonts w:asciiTheme="majorHAnsi" w:hAnsiTheme="majorHAnsi" w:cs="Arial"/>
          <w:sz w:val="24"/>
          <w:szCs w:val="24"/>
        </w:rPr>
        <w:t xml:space="preserve"> immune-mediated</w:t>
      </w:r>
      <w:r w:rsidR="0088252D" w:rsidRPr="00B108FB">
        <w:rPr>
          <w:rFonts w:asciiTheme="majorHAnsi" w:hAnsiTheme="majorHAnsi" w:cs="Arial"/>
          <w:sz w:val="24"/>
          <w:szCs w:val="24"/>
        </w:rPr>
        <w:t xml:space="preserve"> </w:t>
      </w:r>
      <w:r w:rsidR="0088252D">
        <w:rPr>
          <w:rFonts w:asciiTheme="majorHAnsi" w:hAnsiTheme="majorHAnsi" w:cs="Arial"/>
          <w:sz w:val="24"/>
          <w:szCs w:val="24"/>
        </w:rPr>
        <w:t xml:space="preserve">disease </w:t>
      </w:r>
      <w:r w:rsidR="00AF559B">
        <w:rPr>
          <w:rFonts w:asciiTheme="majorHAnsi" w:hAnsiTheme="majorHAnsi" w:cs="Arial"/>
          <w:sz w:val="24"/>
          <w:szCs w:val="24"/>
        </w:rPr>
        <w:t>resulting from</w:t>
      </w:r>
      <w:r w:rsidR="0088252D">
        <w:rPr>
          <w:rFonts w:asciiTheme="majorHAnsi" w:hAnsiTheme="majorHAnsi" w:cs="Arial"/>
          <w:sz w:val="24"/>
          <w:szCs w:val="24"/>
        </w:rPr>
        <w:t xml:space="preserve"> an </w:t>
      </w:r>
      <w:r w:rsidR="0088252D" w:rsidRPr="00AA647F">
        <w:rPr>
          <w:rFonts w:asciiTheme="majorHAnsi" w:hAnsiTheme="majorHAnsi" w:cs="Arial"/>
          <w:sz w:val="24"/>
          <w:szCs w:val="24"/>
        </w:rPr>
        <w:t>inappropriate inflammatory response to an environmental stimulus in a genetically susceptible host</w:t>
      </w:r>
      <w:r w:rsidR="0088252D">
        <w:rPr>
          <w:rFonts w:asciiTheme="majorHAnsi" w:hAnsiTheme="majorHAnsi" w:cs="Arial"/>
          <w:sz w:val="24"/>
          <w:szCs w:val="24"/>
        </w:rPr>
        <w:t xml:space="preserve">. </w:t>
      </w:r>
      <w:r w:rsidR="00F53F11">
        <w:rPr>
          <w:rFonts w:asciiTheme="majorHAnsi" w:hAnsiTheme="majorHAnsi" w:cs="Arial"/>
          <w:sz w:val="24"/>
          <w:szCs w:val="24"/>
        </w:rPr>
        <w:t xml:space="preserve">Though </w:t>
      </w:r>
      <w:r w:rsidR="00AF559B">
        <w:rPr>
          <w:rFonts w:asciiTheme="majorHAnsi" w:hAnsiTheme="majorHAnsi" w:cs="Arial"/>
          <w:sz w:val="24"/>
          <w:szCs w:val="24"/>
        </w:rPr>
        <w:t>IBD</w:t>
      </w:r>
      <w:r w:rsidR="009431A4">
        <w:rPr>
          <w:rFonts w:asciiTheme="majorHAnsi" w:hAnsiTheme="majorHAnsi" w:cs="Arial"/>
          <w:sz w:val="24"/>
          <w:szCs w:val="24"/>
        </w:rPr>
        <w:t xml:space="preserve"> </w:t>
      </w:r>
      <w:r w:rsidR="00D60262">
        <w:rPr>
          <w:rFonts w:asciiTheme="majorHAnsi" w:hAnsiTheme="majorHAnsi" w:cs="Arial"/>
          <w:sz w:val="24"/>
          <w:szCs w:val="24"/>
        </w:rPr>
        <w:t>affect</w:t>
      </w:r>
      <w:r w:rsidR="00093C46">
        <w:rPr>
          <w:rFonts w:asciiTheme="majorHAnsi" w:hAnsiTheme="majorHAnsi" w:cs="Arial"/>
          <w:sz w:val="24"/>
          <w:szCs w:val="24"/>
        </w:rPr>
        <w:t xml:space="preserve">s </w:t>
      </w:r>
      <w:r w:rsidR="00D60262">
        <w:rPr>
          <w:rFonts w:asciiTheme="majorHAnsi" w:hAnsiTheme="majorHAnsi" w:cs="Arial"/>
          <w:sz w:val="24"/>
          <w:szCs w:val="24"/>
        </w:rPr>
        <w:t>individuals of all ages</w:t>
      </w:r>
      <w:r w:rsidR="00F53F11">
        <w:rPr>
          <w:rFonts w:asciiTheme="majorHAnsi" w:hAnsiTheme="majorHAnsi" w:cs="Arial"/>
          <w:sz w:val="24"/>
          <w:szCs w:val="24"/>
        </w:rPr>
        <w:t xml:space="preserve">, some of the manifestations unique to children </w:t>
      </w:r>
      <w:r w:rsidR="00AF559B" w:rsidRPr="00AF559B">
        <w:rPr>
          <w:rFonts w:asciiTheme="majorHAnsi" w:hAnsiTheme="majorHAnsi" w:cs="Arial"/>
          <w:sz w:val="24"/>
          <w:szCs w:val="24"/>
        </w:rPr>
        <w:t>include</w:t>
      </w:r>
      <w:r w:rsidR="0088252D">
        <w:rPr>
          <w:rFonts w:asciiTheme="majorHAnsi" w:hAnsiTheme="majorHAnsi" w:cs="Arial"/>
          <w:sz w:val="24"/>
          <w:szCs w:val="24"/>
        </w:rPr>
        <w:t xml:space="preserve"> </w:t>
      </w:r>
      <w:r w:rsidR="00555A99">
        <w:rPr>
          <w:rFonts w:asciiTheme="majorHAnsi" w:hAnsiTheme="majorHAnsi" w:cs="Arial"/>
          <w:sz w:val="24"/>
          <w:szCs w:val="24"/>
        </w:rPr>
        <w:t>severe</w:t>
      </w:r>
      <w:r w:rsidRPr="00B108FB">
        <w:rPr>
          <w:rFonts w:asciiTheme="majorHAnsi" w:hAnsiTheme="majorHAnsi" w:cs="Arial"/>
          <w:sz w:val="24"/>
          <w:szCs w:val="24"/>
        </w:rPr>
        <w:t xml:space="preserve"> </w:t>
      </w:r>
      <w:r w:rsidR="0088252D">
        <w:rPr>
          <w:rFonts w:asciiTheme="majorHAnsi" w:hAnsiTheme="majorHAnsi" w:cs="Arial"/>
          <w:sz w:val="24"/>
          <w:szCs w:val="24"/>
        </w:rPr>
        <w:t>m</w:t>
      </w:r>
      <w:r w:rsidR="004B69AE">
        <w:rPr>
          <w:rFonts w:asciiTheme="majorHAnsi" w:hAnsiTheme="majorHAnsi" w:cs="Arial"/>
          <w:sz w:val="24"/>
          <w:szCs w:val="24"/>
        </w:rPr>
        <w:t>alnutrition and impaired growth</w:t>
      </w:r>
      <w:r w:rsidR="00AF559B">
        <w:rPr>
          <w:rFonts w:asciiTheme="majorHAnsi" w:hAnsiTheme="majorHAnsi" w:cs="Arial"/>
          <w:sz w:val="24"/>
          <w:szCs w:val="24"/>
        </w:rPr>
        <w:t>.</w:t>
      </w:r>
      <w:r w:rsidR="006F2DA0">
        <w:rPr>
          <w:rStyle w:val="EndnoteReference"/>
          <w:rFonts w:asciiTheme="majorHAnsi" w:hAnsiTheme="majorHAnsi" w:cs="Arial"/>
          <w:szCs w:val="24"/>
        </w:rPr>
        <w:t>(</w:t>
      </w:r>
      <w:r w:rsidR="006F2DA0" w:rsidRPr="00AA647F">
        <w:rPr>
          <w:rStyle w:val="EndnoteReference"/>
          <w:rFonts w:asciiTheme="majorHAnsi" w:hAnsiTheme="majorHAnsi" w:cs="Arial"/>
          <w:szCs w:val="24"/>
        </w:rPr>
        <w:endnoteReference w:id="1"/>
      </w:r>
      <w:r w:rsidR="006F2DA0">
        <w:rPr>
          <w:rStyle w:val="EndnoteReference"/>
          <w:rFonts w:asciiTheme="majorHAnsi" w:hAnsiTheme="majorHAnsi" w:cs="Arial"/>
          <w:szCs w:val="24"/>
        </w:rPr>
        <w:t>)</w:t>
      </w:r>
      <w:r w:rsidR="00C22CDB">
        <w:rPr>
          <w:rStyle w:val="EndnoteReference"/>
          <w:rFonts w:asciiTheme="majorHAnsi" w:hAnsiTheme="majorHAnsi" w:cs="Arial"/>
          <w:szCs w:val="24"/>
        </w:rPr>
        <w:t xml:space="preserve"> </w:t>
      </w:r>
      <w:r w:rsidR="003E0603" w:rsidRPr="003E0603">
        <w:rPr>
          <w:rFonts w:asciiTheme="majorHAnsi" w:hAnsiTheme="majorHAnsi" w:cs="Arial"/>
          <w:sz w:val="24"/>
          <w:szCs w:val="24"/>
        </w:rPr>
        <w:t>IBD affects</w:t>
      </w:r>
      <w:r w:rsidR="00D60262">
        <w:rPr>
          <w:rFonts w:asciiTheme="majorHAnsi" w:hAnsiTheme="majorHAnsi" w:cs="Arial"/>
          <w:sz w:val="24"/>
          <w:szCs w:val="24"/>
        </w:rPr>
        <w:t xml:space="preserve"> </w:t>
      </w:r>
      <w:r w:rsidR="00093C46" w:rsidRPr="00AA647F">
        <w:rPr>
          <w:rFonts w:asciiTheme="majorHAnsi" w:hAnsiTheme="majorHAnsi" w:cs="Arial"/>
          <w:sz w:val="24"/>
          <w:szCs w:val="24"/>
        </w:rPr>
        <w:t xml:space="preserve">70 per 100 000 children with 4.7 per 100 </w:t>
      </w:r>
      <w:r w:rsidR="003E0603" w:rsidRPr="00AA647F">
        <w:rPr>
          <w:rFonts w:asciiTheme="majorHAnsi" w:hAnsiTheme="majorHAnsi" w:cs="Arial"/>
          <w:sz w:val="24"/>
          <w:szCs w:val="24"/>
        </w:rPr>
        <w:t>000 new cases in children per year</w:t>
      </w:r>
      <w:r w:rsidR="00093C46" w:rsidRPr="00AA647F">
        <w:rPr>
          <w:rFonts w:asciiTheme="majorHAnsi" w:hAnsiTheme="majorHAnsi" w:cs="Arial"/>
          <w:sz w:val="24"/>
          <w:szCs w:val="24"/>
        </w:rPr>
        <w:t xml:space="preserve"> in North America and Western Europe, the regions of highest prevalence</w:t>
      </w:r>
      <w:r w:rsidR="00D60262">
        <w:rPr>
          <w:rFonts w:ascii="Times New Roman" w:hAnsi="Times New Roman"/>
          <w:sz w:val="24"/>
          <w:szCs w:val="24"/>
        </w:rPr>
        <w:t>.</w:t>
      </w:r>
      <w:r w:rsidR="006F2DA0">
        <w:rPr>
          <w:rStyle w:val="EndnoteReference"/>
          <w:rFonts w:asciiTheme="majorHAnsi" w:hAnsiTheme="majorHAnsi" w:cs="Arial"/>
          <w:szCs w:val="24"/>
        </w:rPr>
        <w:t>(</w:t>
      </w:r>
      <w:r w:rsidR="006F2DA0">
        <w:rPr>
          <w:rStyle w:val="EndnoteReference"/>
          <w:rFonts w:asciiTheme="majorHAnsi" w:hAnsiTheme="majorHAnsi" w:cs="Arial"/>
          <w:szCs w:val="24"/>
        </w:rPr>
        <w:endnoteReference w:id="2"/>
      </w:r>
      <w:r w:rsidR="006F2DA0">
        <w:rPr>
          <w:rFonts w:asciiTheme="majorHAnsi" w:hAnsiTheme="majorHAnsi" w:cs="Arial"/>
          <w:szCs w:val="24"/>
        </w:rPr>
        <w:t>,</w:t>
      </w:r>
      <w:r w:rsidR="006F2DA0">
        <w:rPr>
          <w:rStyle w:val="EndnoteReference"/>
          <w:rFonts w:asciiTheme="majorHAnsi" w:hAnsiTheme="majorHAnsi" w:cs="Arial"/>
          <w:szCs w:val="24"/>
        </w:rPr>
        <w:endnoteReference w:id="3"/>
      </w:r>
      <w:r w:rsidR="006F2DA0">
        <w:rPr>
          <w:rStyle w:val="EndnoteReference"/>
          <w:rFonts w:asciiTheme="majorHAnsi" w:hAnsiTheme="majorHAnsi" w:cs="Arial"/>
          <w:szCs w:val="24"/>
        </w:rPr>
        <w:t>)</w:t>
      </w:r>
      <w:r w:rsidR="00D60262">
        <w:rPr>
          <w:rFonts w:asciiTheme="majorHAnsi" w:hAnsiTheme="majorHAnsi" w:cs="Arial"/>
          <w:sz w:val="24"/>
          <w:szCs w:val="24"/>
        </w:rPr>
        <w:t xml:space="preserve"> </w:t>
      </w:r>
    </w:p>
    <w:p w:rsidR="001732D0" w:rsidRDefault="002C6431" w:rsidP="00DA3DED">
      <w:pPr>
        <w:autoSpaceDE w:val="0"/>
        <w:autoSpaceDN w:val="0"/>
        <w:adjustRightInd w:val="0"/>
        <w:spacing w:after="0" w:line="480" w:lineRule="auto"/>
        <w:ind w:firstLine="720"/>
        <w:jc w:val="both"/>
        <w:rPr>
          <w:rFonts w:asciiTheme="majorHAnsi" w:hAnsiTheme="majorHAnsi" w:cs="Arial"/>
          <w:sz w:val="24"/>
          <w:szCs w:val="24"/>
        </w:rPr>
      </w:pPr>
      <w:r w:rsidRPr="00B108FB">
        <w:rPr>
          <w:rFonts w:asciiTheme="majorHAnsi" w:hAnsiTheme="majorHAnsi" w:cs="Arial"/>
          <w:sz w:val="24"/>
          <w:szCs w:val="24"/>
        </w:rPr>
        <w:t xml:space="preserve">Treatment for </w:t>
      </w:r>
      <w:r w:rsidR="00AF559B">
        <w:rPr>
          <w:rFonts w:asciiTheme="majorHAnsi" w:hAnsiTheme="majorHAnsi" w:cs="Arial"/>
          <w:sz w:val="24"/>
          <w:szCs w:val="24"/>
        </w:rPr>
        <w:t>IBD</w:t>
      </w:r>
      <w:r w:rsidRPr="00B108FB">
        <w:rPr>
          <w:rFonts w:asciiTheme="majorHAnsi" w:hAnsiTheme="majorHAnsi" w:cs="Arial"/>
          <w:sz w:val="24"/>
          <w:szCs w:val="24"/>
        </w:rPr>
        <w:t xml:space="preserve"> </w:t>
      </w:r>
      <w:r w:rsidR="00D64DCF">
        <w:rPr>
          <w:rFonts w:asciiTheme="majorHAnsi" w:hAnsiTheme="majorHAnsi" w:cs="Arial"/>
          <w:sz w:val="24"/>
          <w:szCs w:val="24"/>
        </w:rPr>
        <w:t xml:space="preserve">frequently </w:t>
      </w:r>
      <w:r w:rsidRPr="00B108FB">
        <w:rPr>
          <w:rFonts w:asciiTheme="majorHAnsi" w:hAnsiTheme="majorHAnsi" w:cs="Arial"/>
          <w:sz w:val="24"/>
          <w:szCs w:val="24"/>
        </w:rPr>
        <w:t xml:space="preserve">involves the use of </w:t>
      </w:r>
      <w:r w:rsidR="00D64DCF">
        <w:rPr>
          <w:rFonts w:asciiTheme="majorHAnsi" w:hAnsiTheme="majorHAnsi" w:cs="Arial"/>
          <w:sz w:val="24"/>
          <w:szCs w:val="24"/>
        </w:rPr>
        <w:t xml:space="preserve">potent immunosuppressants to reduce intestinal inflammation, limit complications and </w:t>
      </w:r>
      <w:r w:rsidR="00093C46">
        <w:rPr>
          <w:rFonts w:asciiTheme="majorHAnsi" w:hAnsiTheme="majorHAnsi" w:cs="Arial"/>
          <w:sz w:val="24"/>
          <w:szCs w:val="24"/>
        </w:rPr>
        <w:t>induce and maintain remission</w:t>
      </w:r>
      <w:r w:rsidRPr="00B108FB">
        <w:rPr>
          <w:rFonts w:asciiTheme="majorHAnsi" w:hAnsiTheme="majorHAnsi" w:cs="Arial"/>
          <w:sz w:val="24"/>
          <w:szCs w:val="24"/>
        </w:rPr>
        <w:t xml:space="preserve">. </w:t>
      </w:r>
      <w:r w:rsidR="00082B42" w:rsidRPr="00B108FB">
        <w:rPr>
          <w:rFonts w:asciiTheme="majorHAnsi" w:hAnsiTheme="majorHAnsi" w:cs="Arial"/>
          <w:sz w:val="24"/>
          <w:szCs w:val="24"/>
        </w:rPr>
        <w:t xml:space="preserve">Specifically, </w:t>
      </w:r>
      <w:r w:rsidR="00D64DCF">
        <w:rPr>
          <w:rFonts w:asciiTheme="majorHAnsi" w:hAnsiTheme="majorHAnsi" w:cs="Arial"/>
          <w:sz w:val="24"/>
          <w:szCs w:val="24"/>
        </w:rPr>
        <w:t>immunosuppressants</w:t>
      </w:r>
      <w:r w:rsidR="00E65849">
        <w:rPr>
          <w:rFonts w:asciiTheme="majorHAnsi" w:hAnsiTheme="majorHAnsi" w:cs="Arial"/>
          <w:sz w:val="24"/>
          <w:szCs w:val="24"/>
        </w:rPr>
        <w:t>,</w:t>
      </w:r>
      <w:r w:rsidR="00D64DCF">
        <w:rPr>
          <w:rFonts w:asciiTheme="majorHAnsi" w:hAnsiTheme="majorHAnsi" w:cs="Arial"/>
          <w:sz w:val="24"/>
          <w:szCs w:val="24"/>
        </w:rPr>
        <w:t xml:space="preserve"> such as </w:t>
      </w:r>
      <w:r w:rsidR="00082B42">
        <w:rPr>
          <w:rFonts w:asciiTheme="majorHAnsi" w:hAnsiTheme="majorHAnsi" w:cs="Arial"/>
          <w:sz w:val="24"/>
          <w:szCs w:val="24"/>
        </w:rPr>
        <w:t xml:space="preserve">systemic </w:t>
      </w:r>
      <w:r w:rsidR="00082B42" w:rsidRPr="00B108FB">
        <w:rPr>
          <w:rFonts w:asciiTheme="majorHAnsi" w:hAnsiTheme="majorHAnsi" w:cs="Arial"/>
          <w:sz w:val="24"/>
          <w:szCs w:val="24"/>
        </w:rPr>
        <w:t>corticosteroids</w:t>
      </w:r>
      <w:r w:rsidR="00082B42">
        <w:rPr>
          <w:rFonts w:asciiTheme="majorHAnsi" w:hAnsiTheme="majorHAnsi" w:cs="Arial"/>
          <w:sz w:val="24"/>
          <w:szCs w:val="24"/>
        </w:rPr>
        <w:t xml:space="preserve"> (prednisone, </w:t>
      </w:r>
      <w:proofErr w:type="spellStart"/>
      <w:r w:rsidR="00082B42">
        <w:rPr>
          <w:rFonts w:asciiTheme="majorHAnsi" w:hAnsiTheme="majorHAnsi" w:cs="Arial"/>
          <w:sz w:val="24"/>
          <w:szCs w:val="24"/>
        </w:rPr>
        <w:t>methylprednisolone</w:t>
      </w:r>
      <w:proofErr w:type="spellEnd"/>
      <w:r w:rsidR="00141BAB">
        <w:rPr>
          <w:rFonts w:asciiTheme="majorHAnsi" w:hAnsiTheme="majorHAnsi" w:cs="Arial"/>
          <w:sz w:val="24"/>
          <w:szCs w:val="24"/>
        </w:rPr>
        <w:t>,</w:t>
      </w:r>
      <w:r w:rsidR="00E65849">
        <w:rPr>
          <w:rFonts w:asciiTheme="majorHAnsi" w:hAnsiTheme="majorHAnsi" w:cs="Arial"/>
          <w:sz w:val="24"/>
          <w:szCs w:val="24"/>
        </w:rPr>
        <w:t xml:space="preserve"> and</w:t>
      </w:r>
      <w:r w:rsidR="00141BAB">
        <w:rPr>
          <w:rFonts w:asciiTheme="majorHAnsi" w:hAnsiTheme="majorHAnsi" w:cs="Arial"/>
          <w:sz w:val="24"/>
          <w:szCs w:val="24"/>
        </w:rPr>
        <w:t xml:space="preserve"> </w:t>
      </w:r>
      <w:proofErr w:type="spellStart"/>
      <w:r w:rsidR="00141BAB">
        <w:rPr>
          <w:rFonts w:asciiTheme="majorHAnsi" w:hAnsiTheme="majorHAnsi" w:cs="Arial"/>
          <w:sz w:val="24"/>
          <w:szCs w:val="24"/>
        </w:rPr>
        <w:t>budesonide</w:t>
      </w:r>
      <w:proofErr w:type="spellEnd"/>
      <w:r w:rsidR="00082B42">
        <w:rPr>
          <w:rFonts w:asciiTheme="majorHAnsi" w:hAnsiTheme="majorHAnsi" w:cs="Arial"/>
          <w:sz w:val="24"/>
          <w:szCs w:val="24"/>
        </w:rPr>
        <w:t>)</w:t>
      </w:r>
      <w:r w:rsidR="00082B42" w:rsidRPr="00B108FB">
        <w:rPr>
          <w:rFonts w:asciiTheme="majorHAnsi" w:hAnsiTheme="majorHAnsi" w:cs="Arial"/>
          <w:sz w:val="24"/>
          <w:szCs w:val="24"/>
        </w:rPr>
        <w:t>, immunomodulators</w:t>
      </w:r>
      <w:r w:rsidR="00082B42">
        <w:rPr>
          <w:rFonts w:asciiTheme="majorHAnsi" w:hAnsiTheme="majorHAnsi" w:cs="Arial"/>
          <w:sz w:val="24"/>
          <w:szCs w:val="24"/>
        </w:rPr>
        <w:t xml:space="preserve"> (</w:t>
      </w:r>
      <w:proofErr w:type="spellStart"/>
      <w:r w:rsidR="00082B42">
        <w:rPr>
          <w:rFonts w:asciiTheme="majorHAnsi" w:hAnsiTheme="majorHAnsi" w:cs="Arial"/>
          <w:sz w:val="24"/>
          <w:szCs w:val="24"/>
        </w:rPr>
        <w:t>azathioprine</w:t>
      </w:r>
      <w:proofErr w:type="spellEnd"/>
      <w:r w:rsidR="00082B42">
        <w:rPr>
          <w:rFonts w:asciiTheme="majorHAnsi" w:hAnsiTheme="majorHAnsi" w:cs="Arial"/>
          <w:sz w:val="24"/>
          <w:szCs w:val="24"/>
        </w:rPr>
        <w:t xml:space="preserve">, 6-mercaptopurine, </w:t>
      </w:r>
      <w:proofErr w:type="spellStart"/>
      <w:r w:rsidR="00082B42">
        <w:rPr>
          <w:rFonts w:asciiTheme="majorHAnsi" w:hAnsiTheme="majorHAnsi" w:cs="Arial"/>
          <w:sz w:val="24"/>
          <w:szCs w:val="24"/>
        </w:rPr>
        <w:t>methotrexate</w:t>
      </w:r>
      <w:proofErr w:type="spellEnd"/>
      <w:r w:rsidR="00082B42">
        <w:rPr>
          <w:rFonts w:asciiTheme="majorHAnsi" w:hAnsiTheme="majorHAnsi" w:cs="Arial"/>
          <w:sz w:val="24"/>
          <w:szCs w:val="24"/>
        </w:rPr>
        <w:t>,</w:t>
      </w:r>
      <w:r w:rsidR="001A758A">
        <w:rPr>
          <w:rFonts w:asciiTheme="majorHAnsi" w:hAnsiTheme="majorHAnsi" w:cs="Arial"/>
          <w:sz w:val="24"/>
          <w:szCs w:val="24"/>
        </w:rPr>
        <w:t xml:space="preserve"> and </w:t>
      </w:r>
      <w:r w:rsidR="004C4B09" w:rsidRPr="004C4B09">
        <w:rPr>
          <w:rFonts w:asciiTheme="majorHAnsi" w:hAnsiTheme="majorHAnsi" w:cs="Arial"/>
          <w:sz w:val="24"/>
          <w:szCs w:val="24"/>
        </w:rPr>
        <w:t>thalidomide</w:t>
      </w:r>
      <w:r w:rsidR="001A758A">
        <w:rPr>
          <w:rFonts w:asciiTheme="majorHAnsi" w:hAnsiTheme="majorHAnsi" w:cs="Arial"/>
          <w:sz w:val="24"/>
          <w:szCs w:val="24"/>
        </w:rPr>
        <w:t xml:space="preserve">), </w:t>
      </w:r>
      <w:proofErr w:type="spellStart"/>
      <w:r w:rsidR="001A758A" w:rsidRPr="008C7DDB">
        <w:rPr>
          <w:rFonts w:asciiTheme="majorHAnsi" w:hAnsiTheme="majorHAnsi" w:cs="Arial"/>
          <w:sz w:val="24"/>
          <w:szCs w:val="24"/>
        </w:rPr>
        <w:t>calcineurin</w:t>
      </w:r>
      <w:proofErr w:type="spellEnd"/>
      <w:r w:rsidR="001A758A" w:rsidRPr="008C7DDB">
        <w:rPr>
          <w:rFonts w:asciiTheme="majorHAnsi" w:hAnsiTheme="majorHAnsi" w:cs="Arial"/>
          <w:sz w:val="24"/>
          <w:szCs w:val="24"/>
        </w:rPr>
        <w:t xml:space="preserve"> inhibitors (</w:t>
      </w:r>
      <w:proofErr w:type="spellStart"/>
      <w:r w:rsidR="00E65849">
        <w:rPr>
          <w:rFonts w:asciiTheme="majorHAnsi" w:hAnsiTheme="majorHAnsi" w:cs="Arial"/>
          <w:sz w:val="24"/>
          <w:szCs w:val="24"/>
        </w:rPr>
        <w:t>tacrolimus</w:t>
      </w:r>
      <w:proofErr w:type="spellEnd"/>
      <w:r w:rsidR="00E65849">
        <w:rPr>
          <w:rFonts w:asciiTheme="majorHAnsi" w:hAnsiTheme="majorHAnsi" w:cs="Arial"/>
          <w:sz w:val="24"/>
          <w:szCs w:val="24"/>
        </w:rPr>
        <w:t xml:space="preserve"> and</w:t>
      </w:r>
      <w:r w:rsidR="001A758A">
        <w:rPr>
          <w:rFonts w:asciiTheme="majorHAnsi" w:hAnsiTheme="majorHAnsi" w:cs="Arial"/>
          <w:sz w:val="24"/>
          <w:szCs w:val="24"/>
        </w:rPr>
        <w:t xml:space="preserve"> </w:t>
      </w:r>
      <w:proofErr w:type="spellStart"/>
      <w:r w:rsidR="001A758A">
        <w:rPr>
          <w:rFonts w:asciiTheme="majorHAnsi" w:hAnsiTheme="majorHAnsi" w:cs="Arial"/>
          <w:sz w:val="24"/>
          <w:szCs w:val="24"/>
        </w:rPr>
        <w:t>cyclosporin</w:t>
      </w:r>
      <w:proofErr w:type="spellEnd"/>
      <w:r w:rsidR="001A758A">
        <w:rPr>
          <w:rFonts w:asciiTheme="majorHAnsi" w:hAnsiTheme="majorHAnsi" w:cs="Arial"/>
          <w:sz w:val="24"/>
          <w:szCs w:val="24"/>
        </w:rPr>
        <w:t>)</w:t>
      </w:r>
      <w:r w:rsidR="004C4B09">
        <w:rPr>
          <w:rFonts w:asciiTheme="majorHAnsi" w:hAnsiTheme="majorHAnsi" w:cs="Arial"/>
          <w:sz w:val="24"/>
          <w:szCs w:val="24"/>
        </w:rPr>
        <w:t xml:space="preserve">, </w:t>
      </w:r>
      <w:r w:rsidR="004C4B09" w:rsidRPr="00082B42">
        <w:rPr>
          <w:rFonts w:asciiTheme="majorHAnsi" w:hAnsiTheme="majorHAnsi" w:cs="Arial"/>
          <w:sz w:val="24"/>
          <w:szCs w:val="24"/>
        </w:rPr>
        <w:t>and</w:t>
      </w:r>
      <w:r w:rsidR="00082B42" w:rsidRPr="00B108FB">
        <w:rPr>
          <w:rFonts w:asciiTheme="majorHAnsi" w:hAnsiTheme="majorHAnsi" w:cs="Arial"/>
          <w:sz w:val="24"/>
          <w:szCs w:val="24"/>
        </w:rPr>
        <w:t xml:space="preserve"> </w:t>
      </w:r>
      <w:r w:rsidR="007B02BD" w:rsidRPr="007B02BD">
        <w:rPr>
          <w:rFonts w:asciiTheme="majorHAnsi" w:hAnsiTheme="majorHAnsi" w:cs="Arial"/>
          <w:sz w:val="24"/>
          <w:szCs w:val="24"/>
        </w:rPr>
        <w:t>anti</w:t>
      </w:r>
      <w:r w:rsidR="007B02BD">
        <w:rPr>
          <w:rFonts w:asciiTheme="majorHAnsi" w:hAnsiTheme="majorHAnsi" w:cs="Arial"/>
          <w:sz w:val="24"/>
          <w:szCs w:val="24"/>
        </w:rPr>
        <w:t>-</w:t>
      </w:r>
      <w:r w:rsidR="007B02BD" w:rsidRPr="007B02BD">
        <w:rPr>
          <w:rFonts w:asciiTheme="majorHAnsi" w:hAnsiTheme="majorHAnsi" w:cs="Arial"/>
          <w:sz w:val="24"/>
          <w:szCs w:val="24"/>
        </w:rPr>
        <w:t xml:space="preserve">tumor necrosis </w:t>
      </w:r>
      <w:r w:rsidR="007B02BD">
        <w:rPr>
          <w:rFonts w:asciiTheme="majorHAnsi" w:hAnsiTheme="majorHAnsi" w:cs="Arial"/>
          <w:sz w:val="24"/>
          <w:szCs w:val="24"/>
        </w:rPr>
        <w:t xml:space="preserve">factor </w:t>
      </w:r>
      <w:r w:rsidR="007B02BD" w:rsidRPr="007B02BD">
        <w:rPr>
          <w:rFonts w:asciiTheme="majorHAnsi" w:hAnsiTheme="majorHAnsi" w:cs="Arial"/>
          <w:sz w:val="24"/>
          <w:szCs w:val="24"/>
        </w:rPr>
        <w:t>alpha</w:t>
      </w:r>
      <w:r w:rsidR="007B02BD">
        <w:rPr>
          <w:rFonts w:asciiTheme="majorHAnsi" w:hAnsiTheme="majorHAnsi" w:cs="Arial"/>
          <w:sz w:val="24"/>
          <w:szCs w:val="24"/>
        </w:rPr>
        <w:t xml:space="preserve"> (</w:t>
      </w:r>
      <w:r w:rsidR="00082B42" w:rsidRPr="00A56B7B">
        <w:rPr>
          <w:rFonts w:asciiTheme="majorHAnsi" w:hAnsiTheme="majorHAnsi" w:cs="Arial"/>
          <w:sz w:val="24"/>
          <w:szCs w:val="24"/>
        </w:rPr>
        <w:t>anti-</w:t>
      </w:r>
      <w:proofErr w:type="spellStart"/>
      <w:r w:rsidR="00082B42" w:rsidRPr="00A56B7B">
        <w:rPr>
          <w:rFonts w:asciiTheme="majorHAnsi" w:hAnsiTheme="majorHAnsi" w:cs="Arial"/>
          <w:sz w:val="24"/>
          <w:szCs w:val="24"/>
        </w:rPr>
        <w:t>TNFα</w:t>
      </w:r>
      <w:proofErr w:type="spellEnd"/>
      <w:r w:rsidR="007B02BD">
        <w:rPr>
          <w:rFonts w:asciiTheme="majorHAnsi" w:hAnsiTheme="majorHAnsi" w:cs="Arial"/>
          <w:sz w:val="24"/>
          <w:szCs w:val="24"/>
        </w:rPr>
        <w:t>)</w:t>
      </w:r>
      <w:r w:rsidR="00082B42" w:rsidRPr="00A56B7B">
        <w:rPr>
          <w:rFonts w:asciiTheme="majorHAnsi" w:hAnsiTheme="majorHAnsi" w:cs="Arial"/>
          <w:sz w:val="24"/>
          <w:szCs w:val="24"/>
        </w:rPr>
        <w:t xml:space="preserve"> </w:t>
      </w:r>
      <w:r w:rsidR="00082B42" w:rsidRPr="00B108FB">
        <w:rPr>
          <w:rFonts w:asciiTheme="majorHAnsi" w:hAnsiTheme="majorHAnsi" w:cs="Arial"/>
          <w:sz w:val="24"/>
          <w:szCs w:val="24"/>
        </w:rPr>
        <w:t>biologics</w:t>
      </w:r>
      <w:r w:rsidR="00E65849">
        <w:rPr>
          <w:rFonts w:asciiTheme="majorHAnsi" w:hAnsiTheme="majorHAnsi" w:cs="Arial"/>
          <w:sz w:val="24"/>
          <w:szCs w:val="24"/>
        </w:rPr>
        <w:t xml:space="preserve"> (</w:t>
      </w:r>
      <w:proofErr w:type="spellStart"/>
      <w:r w:rsidR="00E65849">
        <w:rPr>
          <w:rFonts w:asciiTheme="majorHAnsi" w:hAnsiTheme="majorHAnsi" w:cs="Arial"/>
          <w:sz w:val="24"/>
          <w:szCs w:val="24"/>
        </w:rPr>
        <w:t>infliximab</w:t>
      </w:r>
      <w:proofErr w:type="spellEnd"/>
      <w:r w:rsidR="00E65849">
        <w:rPr>
          <w:rFonts w:asciiTheme="majorHAnsi" w:hAnsiTheme="majorHAnsi" w:cs="Arial"/>
          <w:sz w:val="24"/>
          <w:szCs w:val="24"/>
        </w:rPr>
        <w:t xml:space="preserve"> and </w:t>
      </w:r>
      <w:proofErr w:type="spellStart"/>
      <w:r w:rsidR="00082B42">
        <w:rPr>
          <w:rFonts w:asciiTheme="majorHAnsi" w:hAnsiTheme="majorHAnsi" w:cs="Arial"/>
          <w:sz w:val="24"/>
          <w:szCs w:val="24"/>
        </w:rPr>
        <w:t>adalimumab</w:t>
      </w:r>
      <w:proofErr w:type="spellEnd"/>
      <w:r w:rsidR="00082B42">
        <w:rPr>
          <w:rFonts w:asciiTheme="majorHAnsi" w:hAnsiTheme="majorHAnsi" w:cs="Arial"/>
          <w:sz w:val="24"/>
          <w:szCs w:val="24"/>
        </w:rPr>
        <w:t xml:space="preserve">) </w:t>
      </w:r>
      <w:r w:rsidR="00A33D38">
        <w:rPr>
          <w:rFonts w:asciiTheme="majorHAnsi" w:hAnsiTheme="majorHAnsi" w:cs="Arial"/>
          <w:sz w:val="24"/>
          <w:szCs w:val="24"/>
        </w:rPr>
        <w:t xml:space="preserve">effectively </w:t>
      </w:r>
      <w:r w:rsidRPr="00B108FB">
        <w:rPr>
          <w:rFonts w:asciiTheme="majorHAnsi" w:hAnsiTheme="majorHAnsi" w:cs="Arial"/>
          <w:sz w:val="24"/>
          <w:szCs w:val="24"/>
        </w:rPr>
        <w:t>treat and prevent flare-ups</w:t>
      </w:r>
      <w:r w:rsidR="002F0A2A">
        <w:rPr>
          <w:rFonts w:asciiTheme="majorHAnsi" w:hAnsiTheme="majorHAnsi" w:cs="Arial"/>
          <w:sz w:val="24"/>
          <w:szCs w:val="24"/>
        </w:rPr>
        <w:t>. H</w:t>
      </w:r>
      <w:r w:rsidR="00555A99" w:rsidRPr="00B108FB">
        <w:rPr>
          <w:rFonts w:asciiTheme="majorHAnsi" w:hAnsiTheme="majorHAnsi" w:cs="Arial"/>
          <w:sz w:val="24"/>
          <w:szCs w:val="24"/>
        </w:rPr>
        <w:t xml:space="preserve">owever, </w:t>
      </w:r>
      <w:r w:rsidR="00555A99">
        <w:rPr>
          <w:rFonts w:asciiTheme="majorHAnsi" w:hAnsiTheme="majorHAnsi" w:cs="Arial"/>
          <w:sz w:val="24"/>
          <w:szCs w:val="24"/>
        </w:rPr>
        <w:t>th</w:t>
      </w:r>
      <w:r w:rsidR="00555A99" w:rsidRPr="00B108FB">
        <w:rPr>
          <w:rFonts w:asciiTheme="majorHAnsi" w:hAnsiTheme="majorHAnsi" w:cs="Arial"/>
          <w:sz w:val="24"/>
          <w:szCs w:val="24"/>
        </w:rPr>
        <w:t xml:space="preserve">ese </w:t>
      </w:r>
      <w:r w:rsidR="00555A99">
        <w:rPr>
          <w:rFonts w:asciiTheme="majorHAnsi" w:hAnsiTheme="majorHAnsi" w:cs="Arial"/>
          <w:sz w:val="24"/>
          <w:szCs w:val="24"/>
        </w:rPr>
        <w:t xml:space="preserve">more aggressive </w:t>
      </w:r>
      <w:r w:rsidR="00555A99">
        <w:rPr>
          <w:rFonts w:asciiTheme="majorHAnsi" w:hAnsiTheme="majorHAnsi" w:cs="Arial"/>
          <w:sz w:val="24"/>
          <w:szCs w:val="24"/>
        </w:rPr>
        <w:lastRenderedPageBreak/>
        <w:t>treatments</w:t>
      </w:r>
      <w:r w:rsidR="00555A99" w:rsidRPr="00B108FB">
        <w:rPr>
          <w:rFonts w:asciiTheme="majorHAnsi" w:hAnsiTheme="majorHAnsi" w:cs="Arial"/>
          <w:sz w:val="24"/>
          <w:szCs w:val="24"/>
        </w:rPr>
        <w:t xml:space="preserve"> have </w:t>
      </w:r>
      <w:r w:rsidR="00AF559B">
        <w:rPr>
          <w:rFonts w:asciiTheme="majorHAnsi" w:hAnsiTheme="majorHAnsi" w:cs="Arial"/>
          <w:sz w:val="24"/>
          <w:szCs w:val="24"/>
        </w:rPr>
        <w:t>risks</w:t>
      </w:r>
      <w:r w:rsidR="00A3764B">
        <w:rPr>
          <w:rFonts w:asciiTheme="majorHAnsi" w:hAnsiTheme="majorHAnsi" w:cs="Arial"/>
          <w:sz w:val="24"/>
          <w:szCs w:val="24"/>
        </w:rPr>
        <w:t>,</w:t>
      </w:r>
      <w:r w:rsidR="00555A99">
        <w:rPr>
          <w:rFonts w:asciiTheme="majorHAnsi" w:hAnsiTheme="majorHAnsi" w:cs="Arial"/>
          <w:sz w:val="24"/>
          <w:szCs w:val="24"/>
        </w:rPr>
        <w:t xml:space="preserve"> including increased susceptibility to and severity of infections</w:t>
      </w:r>
      <w:r w:rsidR="001A758A">
        <w:rPr>
          <w:rFonts w:asciiTheme="majorHAnsi" w:hAnsiTheme="majorHAnsi" w:cs="Arial"/>
          <w:sz w:val="24"/>
          <w:szCs w:val="24"/>
        </w:rPr>
        <w:t>.</w:t>
      </w:r>
      <w:r w:rsidR="00555A99">
        <w:rPr>
          <w:rFonts w:asciiTheme="majorHAnsi" w:hAnsiTheme="majorHAnsi" w:cs="Arial"/>
          <w:sz w:val="24"/>
          <w:szCs w:val="24"/>
        </w:rPr>
        <w:t xml:space="preserve"> </w:t>
      </w:r>
      <w:r w:rsidRPr="00B108FB">
        <w:rPr>
          <w:rFonts w:asciiTheme="majorHAnsi" w:hAnsiTheme="majorHAnsi" w:cs="Arial"/>
          <w:sz w:val="24"/>
          <w:szCs w:val="24"/>
        </w:rPr>
        <w:t xml:space="preserve">Therefore, patients on immunosuppressants should be protected appropriately with vaccines. However, immunosuppressive </w:t>
      </w:r>
      <w:r w:rsidR="00AF559B">
        <w:rPr>
          <w:rFonts w:asciiTheme="majorHAnsi" w:hAnsiTheme="majorHAnsi" w:cs="Arial"/>
          <w:sz w:val="24"/>
          <w:szCs w:val="24"/>
        </w:rPr>
        <w:t>medications may impair</w:t>
      </w:r>
      <w:r w:rsidR="00AF559B" w:rsidRPr="00AF559B">
        <w:rPr>
          <w:rFonts w:asciiTheme="majorHAnsi" w:hAnsiTheme="majorHAnsi" w:cs="Arial"/>
          <w:sz w:val="24"/>
          <w:szCs w:val="24"/>
        </w:rPr>
        <w:t xml:space="preserve"> the body’s ability to successfully build an immunogenic response to vaccinations</w:t>
      </w:r>
      <w:r w:rsidR="00AF559B">
        <w:rPr>
          <w:rFonts w:asciiTheme="majorHAnsi" w:hAnsiTheme="majorHAnsi" w:cs="Arial"/>
          <w:sz w:val="24"/>
          <w:szCs w:val="24"/>
        </w:rPr>
        <w:t xml:space="preserve">. </w:t>
      </w:r>
      <w:r w:rsidR="0098178E" w:rsidRPr="0098178E">
        <w:rPr>
          <w:rFonts w:asciiTheme="majorHAnsi" w:hAnsiTheme="majorHAnsi" w:cs="Arial"/>
          <w:sz w:val="24"/>
          <w:szCs w:val="24"/>
        </w:rPr>
        <w:t xml:space="preserve">The health care maintenance of immunocompromised individuals is unique due to the </w:t>
      </w:r>
      <w:r w:rsidR="002F0A2A">
        <w:rPr>
          <w:rFonts w:asciiTheme="majorHAnsi" w:hAnsiTheme="majorHAnsi" w:cs="Arial"/>
          <w:sz w:val="24"/>
          <w:szCs w:val="24"/>
        </w:rPr>
        <w:t xml:space="preserve">balance </w:t>
      </w:r>
      <w:r w:rsidR="0098178E">
        <w:rPr>
          <w:rFonts w:asciiTheme="majorHAnsi" w:hAnsiTheme="majorHAnsi" w:cs="Arial"/>
          <w:sz w:val="24"/>
          <w:szCs w:val="24"/>
        </w:rPr>
        <w:t>of protection against vaccine-preventable diseases and the risk of vaccine adverse events in a</w:t>
      </w:r>
      <w:r w:rsidR="002F0A2A">
        <w:rPr>
          <w:rFonts w:asciiTheme="majorHAnsi" w:hAnsiTheme="majorHAnsi" w:cs="Arial"/>
          <w:sz w:val="24"/>
          <w:szCs w:val="24"/>
        </w:rPr>
        <w:t>n immunosuppressed individual.</w:t>
      </w:r>
      <w:r w:rsidR="001732D0">
        <w:rPr>
          <w:rFonts w:asciiTheme="majorHAnsi" w:hAnsiTheme="majorHAnsi" w:cs="Arial"/>
          <w:sz w:val="24"/>
          <w:szCs w:val="24"/>
        </w:rPr>
        <w:t xml:space="preserve"> </w:t>
      </w:r>
      <w:r w:rsidR="007E1935" w:rsidRPr="004B69AE">
        <w:rPr>
          <w:rFonts w:asciiTheme="majorHAnsi" w:hAnsiTheme="majorHAnsi" w:cs="Arial"/>
          <w:sz w:val="24"/>
          <w:szCs w:val="24"/>
        </w:rPr>
        <w:t>Immunosuppressed individuals with IBD are encouraged to adhere to the same vaccination schedules recommended</w:t>
      </w:r>
      <w:r w:rsidR="00AF559B">
        <w:rPr>
          <w:rFonts w:asciiTheme="majorHAnsi" w:hAnsiTheme="majorHAnsi" w:cs="Arial"/>
          <w:sz w:val="24"/>
          <w:szCs w:val="24"/>
        </w:rPr>
        <w:t xml:space="preserve"> for the general population with</w:t>
      </w:r>
      <w:r w:rsidR="007E1935" w:rsidRPr="004B69AE">
        <w:rPr>
          <w:rFonts w:asciiTheme="majorHAnsi" w:hAnsiTheme="majorHAnsi" w:cs="Arial"/>
          <w:sz w:val="24"/>
          <w:szCs w:val="24"/>
        </w:rPr>
        <w:t xml:space="preserve"> </w:t>
      </w:r>
      <w:r w:rsidR="007E1935">
        <w:rPr>
          <w:rFonts w:asciiTheme="majorHAnsi" w:hAnsiTheme="majorHAnsi" w:cs="Arial"/>
          <w:sz w:val="24"/>
          <w:szCs w:val="24"/>
        </w:rPr>
        <w:t>l</w:t>
      </w:r>
      <w:r w:rsidR="007E1935" w:rsidRPr="004B69AE">
        <w:rPr>
          <w:rFonts w:asciiTheme="majorHAnsi" w:hAnsiTheme="majorHAnsi" w:cs="Arial"/>
          <w:sz w:val="24"/>
          <w:szCs w:val="24"/>
        </w:rPr>
        <w:t xml:space="preserve">ive agent vaccines </w:t>
      </w:r>
      <w:r w:rsidR="00AF559B">
        <w:rPr>
          <w:rFonts w:asciiTheme="majorHAnsi" w:hAnsiTheme="majorHAnsi" w:cs="Arial"/>
          <w:sz w:val="24"/>
          <w:szCs w:val="24"/>
        </w:rPr>
        <w:t>as</w:t>
      </w:r>
      <w:r w:rsidR="007E1935" w:rsidRPr="004B69AE">
        <w:rPr>
          <w:rFonts w:asciiTheme="majorHAnsi" w:hAnsiTheme="majorHAnsi" w:cs="Arial"/>
          <w:sz w:val="24"/>
          <w:szCs w:val="24"/>
        </w:rPr>
        <w:t xml:space="preserve"> the only exception.</w:t>
      </w:r>
      <w:r w:rsidR="007E1935">
        <w:rPr>
          <w:rFonts w:ascii="Times New Roman" w:hAnsi="Times New Roman"/>
          <w:sz w:val="24"/>
          <w:szCs w:val="24"/>
        </w:rPr>
        <w:t xml:space="preserve"> </w:t>
      </w:r>
      <w:r w:rsidR="00410CCB" w:rsidRPr="00410CCB">
        <w:rPr>
          <w:rFonts w:asciiTheme="majorHAnsi" w:hAnsiTheme="majorHAnsi"/>
          <w:sz w:val="24"/>
          <w:szCs w:val="24"/>
        </w:rPr>
        <w:t>Canada’s universal health care plan provides all legal residents free access to health services including ro</w:t>
      </w:r>
      <w:r w:rsidR="004E3A53">
        <w:rPr>
          <w:rFonts w:asciiTheme="majorHAnsi" w:hAnsiTheme="majorHAnsi"/>
          <w:sz w:val="24"/>
          <w:szCs w:val="24"/>
        </w:rPr>
        <w:t xml:space="preserve">utine childhood immunizations. </w:t>
      </w:r>
      <w:r w:rsidR="001732D0">
        <w:rPr>
          <w:rFonts w:asciiTheme="majorHAnsi" w:hAnsiTheme="majorHAnsi" w:cs="Arial"/>
          <w:sz w:val="24"/>
          <w:szCs w:val="24"/>
        </w:rPr>
        <w:t>The 7</w:t>
      </w:r>
      <w:r w:rsidR="001732D0" w:rsidRPr="001732D0">
        <w:rPr>
          <w:rFonts w:asciiTheme="majorHAnsi" w:hAnsiTheme="majorHAnsi" w:cs="Arial"/>
          <w:sz w:val="24"/>
          <w:szCs w:val="24"/>
          <w:vertAlign w:val="superscript"/>
        </w:rPr>
        <w:t>th</w:t>
      </w:r>
      <w:r w:rsidR="001732D0">
        <w:rPr>
          <w:rFonts w:asciiTheme="majorHAnsi" w:hAnsiTheme="majorHAnsi" w:cs="Arial"/>
          <w:sz w:val="24"/>
          <w:szCs w:val="24"/>
        </w:rPr>
        <w:t xml:space="preserve"> edition of the Canadian Immunization Guide provides specific immunization recommendations for individuals who are medically immunosuppressed</w:t>
      </w:r>
      <w:r w:rsidR="001732D0" w:rsidRPr="001732D0">
        <w:rPr>
          <w:rFonts w:asciiTheme="majorHAnsi" w:hAnsiTheme="majorHAnsi" w:cs="Arial"/>
          <w:sz w:val="24"/>
          <w:szCs w:val="24"/>
        </w:rPr>
        <w:t xml:space="preserve"> </w:t>
      </w:r>
      <w:r w:rsidR="001732D0" w:rsidRPr="0098178E">
        <w:rPr>
          <w:rFonts w:asciiTheme="majorHAnsi" w:hAnsiTheme="majorHAnsi" w:cs="Arial"/>
          <w:sz w:val="24"/>
          <w:szCs w:val="24"/>
        </w:rPr>
        <w:t>for chroni</w:t>
      </w:r>
      <w:r w:rsidR="001732D0">
        <w:rPr>
          <w:rFonts w:asciiTheme="majorHAnsi" w:hAnsiTheme="majorHAnsi" w:cs="Arial"/>
          <w:sz w:val="24"/>
          <w:szCs w:val="24"/>
        </w:rPr>
        <w:t xml:space="preserve">c inflammatory conditions like </w:t>
      </w:r>
      <w:r w:rsidR="001C2C67">
        <w:rPr>
          <w:rFonts w:asciiTheme="majorHAnsi" w:hAnsiTheme="majorHAnsi" w:cs="Arial"/>
          <w:sz w:val="24"/>
          <w:szCs w:val="24"/>
        </w:rPr>
        <w:t>IBD</w:t>
      </w:r>
      <w:r w:rsidR="001732D0" w:rsidRPr="0098178E">
        <w:rPr>
          <w:rFonts w:asciiTheme="majorHAnsi" w:hAnsiTheme="majorHAnsi" w:cs="Arial"/>
          <w:sz w:val="24"/>
          <w:szCs w:val="24"/>
        </w:rPr>
        <w:t>.</w:t>
      </w:r>
      <w:r w:rsidR="006F2DA0">
        <w:rPr>
          <w:rStyle w:val="EndnoteReference"/>
          <w:rFonts w:asciiTheme="majorHAnsi" w:hAnsiTheme="majorHAnsi" w:cs="Arial"/>
          <w:szCs w:val="24"/>
        </w:rPr>
        <w:t>(</w:t>
      </w:r>
      <w:r w:rsidR="006F2DA0">
        <w:rPr>
          <w:rStyle w:val="EndnoteReference"/>
          <w:rFonts w:asciiTheme="majorHAnsi" w:hAnsiTheme="majorHAnsi" w:cs="Arial"/>
          <w:szCs w:val="24"/>
        </w:rPr>
        <w:endnoteReference w:id="4"/>
      </w:r>
      <w:r w:rsidR="006F2DA0">
        <w:rPr>
          <w:rStyle w:val="EndnoteReference"/>
          <w:rFonts w:asciiTheme="majorHAnsi" w:hAnsiTheme="majorHAnsi" w:cs="Arial"/>
          <w:szCs w:val="24"/>
        </w:rPr>
        <w:t>)</w:t>
      </w:r>
      <w:r w:rsidR="001732D0">
        <w:rPr>
          <w:rFonts w:asciiTheme="majorHAnsi" w:hAnsiTheme="majorHAnsi" w:cs="Arial"/>
          <w:sz w:val="24"/>
          <w:szCs w:val="24"/>
        </w:rPr>
        <w:t xml:space="preserve"> </w:t>
      </w:r>
      <w:r w:rsidR="0098178E" w:rsidRPr="0098178E">
        <w:rPr>
          <w:rFonts w:asciiTheme="majorHAnsi" w:hAnsiTheme="majorHAnsi" w:cs="Arial"/>
          <w:sz w:val="24"/>
          <w:szCs w:val="24"/>
        </w:rPr>
        <w:t xml:space="preserve">The general principles include: </w:t>
      </w:r>
    </w:p>
    <w:p w:rsidR="000B45BE" w:rsidRDefault="000B45BE" w:rsidP="000B45BE">
      <w:pPr>
        <w:autoSpaceDE w:val="0"/>
        <w:autoSpaceDN w:val="0"/>
        <w:adjustRightInd w:val="0"/>
        <w:spacing w:after="0" w:line="360" w:lineRule="auto"/>
        <w:ind w:firstLine="720"/>
        <w:jc w:val="both"/>
        <w:rPr>
          <w:rFonts w:asciiTheme="majorHAnsi" w:hAnsiTheme="majorHAnsi" w:cs="Arial"/>
          <w:sz w:val="24"/>
          <w:szCs w:val="24"/>
        </w:rPr>
      </w:pPr>
    </w:p>
    <w:p w:rsidR="004E3A53" w:rsidRPr="000B45BE" w:rsidRDefault="004E3A53" w:rsidP="000B45BE">
      <w:pPr>
        <w:autoSpaceDE w:val="0"/>
        <w:autoSpaceDN w:val="0"/>
        <w:adjustRightInd w:val="0"/>
        <w:spacing w:after="0" w:line="360" w:lineRule="auto"/>
        <w:ind w:left="709" w:right="714" w:hanging="425"/>
        <w:jc w:val="both"/>
        <w:rPr>
          <w:rFonts w:asciiTheme="majorHAnsi" w:hAnsiTheme="majorHAnsi" w:cs="Arial"/>
          <w:sz w:val="20"/>
          <w:szCs w:val="24"/>
        </w:rPr>
      </w:pPr>
      <w:r w:rsidRPr="000B45BE">
        <w:rPr>
          <w:rFonts w:asciiTheme="majorHAnsi" w:hAnsiTheme="majorHAnsi" w:cs="Arial"/>
          <w:sz w:val="20"/>
          <w:szCs w:val="24"/>
        </w:rPr>
        <w:t xml:space="preserve"> </w:t>
      </w:r>
      <w:r w:rsidR="0098178E" w:rsidRPr="000B45BE">
        <w:rPr>
          <w:rFonts w:asciiTheme="majorHAnsi" w:hAnsiTheme="majorHAnsi" w:cs="Arial"/>
          <w:sz w:val="20"/>
          <w:szCs w:val="24"/>
        </w:rPr>
        <w:t>[1</w:t>
      </w:r>
      <w:r w:rsidR="001C5FAF" w:rsidRPr="000B45BE">
        <w:rPr>
          <w:rFonts w:asciiTheme="majorHAnsi" w:hAnsiTheme="majorHAnsi" w:cs="Arial"/>
          <w:sz w:val="20"/>
          <w:szCs w:val="24"/>
        </w:rPr>
        <w:t>]</w:t>
      </w:r>
      <w:r w:rsidR="001C5FAF" w:rsidRPr="000B45BE">
        <w:rPr>
          <w:rFonts w:asciiTheme="majorHAnsi" w:hAnsiTheme="majorHAnsi" w:cs="Arial"/>
          <w:sz w:val="20"/>
          <w:szCs w:val="24"/>
        </w:rPr>
        <w:tab/>
        <w:t>Assume</w:t>
      </w:r>
      <w:r w:rsidRPr="000B45BE">
        <w:rPr>
          <w:rFonts w:asciiTheme="majorHAnsi" w:hAnsiTheme="majorHAnsi" w:cs="Arial"/>
          <w:sz w:val="20"/>
          <w:szCs w:val="24"/>
        </w:rPr>
        <w:t xml:space="preserve"> all individuals are susceptible </w:t>
      </w:r>
      <w:r w:rsidR="001A758A" w:rsidRPr="000B45BE">
        <w:rPr>
          <w:rFonts w:asciiTheme="majorHAnsi" w:hAnsiTheme="majorHAnsi" w:cs="Arial"/>
          <w:sz w:val="20"/>
          <w:szCs w:val="24"/>
        </w:rPr>
        <w:t>except if</w:t>
      </w:r>
      <w:r w:rsidRPr="000B45BE">
        <w:rPr>
          <w:rFonts w:asciiTheme="majorHAnsi" w:hAnsiTheme="majorHAnsi" w:cs="Arial"/>
          <w:sz w:val="20"/>
          <w:szCs w:val="24"/>
        </w:rPr>
        <w:t xml:space="preserve"> serologic tests prove otherwise.</w:t>
      </w:r>
    </w:p>
    <w:p w:rsidR="004E3A53" w:rsidRPr="000B45BE" w:rsidRDefault="004E3A53" w:rsidP="000B45BE">
      <w:pPr>
        <w:autoSpaceDE w:val="0"/>
        <w:autoSpaceDN w:val="0"/>
        <w:adjustRightInd w:val="0"/>
        <w:spacing w:after="0" w:line="360" w:lineRule="auto"/>
        <w:ind w:left="709" w:right="714" w:hanging="425"/>
        <w:jc w:val="both"/>
        <w:rPr>
          <w:rFonts w:asciiTheme="majorHAnsi" w:hAnsiTheme="majorHAnsi" w:cs="Arial"/>
          <w:sz w:val="20"/>
          <w:szCs w:val="24"/>
        </w:rPr>
      </w:pPr>
      <w:r w:rsidRPr="000B45BE">
        <w:rPr>
          <w:rFonts w:asciiTheme="majorHAnsi" w:hAnsiTheme="majorHAnsi" w:cs="Arial"/>
          <w:sz w:val="20"/>
          <w:szCs w:val="24"/>
        </w:rPr>
        <w:t xml:space="preserve"> </w:t>
      </w:r>
      <w:r w:rsidR="0098178E" w:rsidRPr="000B45BE">
        <w:rPr>
          <w:rFonts w:asciiTheme="majorHAnsi" w:hAnsiTheme="majorHAnsi" w:cs="Arial"/>
          <w:sz w:val="20"/>
          <w:szCs w:val="24"/>
        </w:rPr>
        <w:t>[2</w:t>
      </w:r>
      <w:r w:rsidR="001C5FAF" w:rsidRPr="000B45BE">
        <w:rPr>
          <w:rFonts w:asciiTheme="majorHAnsi" w:hAnsiTheme="majorHAnsi" w:cs="Arial"/>
          <w:sz w:val="20"/>
          <w:szCs w:val="24"/>
        </w:rPr>
        <w:t>]</w:t>
      </w:r>
      <w:r w:rsidR="001C5FAF" w:rsidRPr="000B45BE">
        <w:rPr>
          <w:rFonts w:asciiTheme="majorHAnsi" w:hAnsiTheme="majorHAnsi" w:cs="Arial"/>
          <w:sz w:val="20"/>
          <w:szCs w:val="24"/>
        </w:rPr>
        <w:tab/>
        <w:t>Avoid</w:t>
      </w:r>
      <w:r w:rsidRPr="000B45BE">
        <w:rPr>
          <w:rFonts w:asciiTheme="majorHAnsi" w:hAnsiTheme="majorHAnsi" w:cs="Arial"/>
          <w:sz w:val="20"/>
          <w:szCs w:val="24"/>
        </w:rPr>
        <w:t xml:space="preserve"> immunizations during periods of altered immunity. </w:t>
      </w:r>
      <w:r w:rsidR="001C5FAF" w:rsidRPr="000B45BE">
        <w:rPr>
          <w:rFonts w:asciiTheme="majorHAnsi" w:hAnsiTheme="majorHAnsi" w:cs="Arial"/>
          <w:sz w:val="20"/>
          <w:szCs w:val="24"/>
        </w:rPr>
        <w:t>If appropriate, v</w:t>
      </w:r>
      <w:r w:rsidRPr="000B45BE">
        <w:rPr>
          <w:rFonts w:asciiTheme="majorHAnsi" w:hAnsiTheme="majorHAnsi" w:cs="Arial"/>
          <w:sz w:val="20"/>
          <w:szCs w:val="24"/>
        </w:rPr>
        <w:t xml:space="preserve">accination </w:t>
      </w:r>
      <w:r w:rsidR="001C5FAF" w:rsidRPr="000B45BE">
        <w:rPr>
          <w:rFonts w:asciiTheme="majorHAnsi" w:hAnsiTheme="majorHAnsi" w:cs="Arial"/>
          <w:sz w:val="20"/>
          <w:szCs w:val="24"/>
        </w:rPr>
        <w:t>and</w:t>
      </w:r>
      <w:r w:rsidRPr="000B45BE">
        <w:rPr>
          <w:rFonts w:asciiTheme="majorHAnsi" w:hAnsiTheme="majorHAnsi" w:cs="Arial"/>
          <w:sz w:val="20"/>
          <w:szCs w:val="24"/>
        </w:rPr>
        <w:t xml:space="preserve"> immunosuppression schedules</w:t>
      </w:r>
      <w:r w:rsidR="001C5FAF" w:rsidRPr="000B45BE">
        <w:rPr>
          <w:rFonts w:asciiTheme="majorHAnsi" w:hAnsiTheme="majorHAnsi" w:cs="Arial"/>
          <w:sz w:val="20"/>
          <w:szCs w:val="24"/>
        </w:rPr>
        <w:t xml:space="preserve"> should be modified to optimize vaccine response.</w:t>
      </w:r>
    </w:p>
    <w:p w:rsidR="001C5FAF" w:rsidRPr="000B45BE" w:rsidRDefault="001C5FAF" w:rsidP="000B45BE">
      <w:pPr>
        <w:autoSpaceDE w:val="0"/>
        <w:autoSpaceDN w:val="0"/>
        <w:adjustRightInd w:val="0"/>
        <w:spacing w:after="0" w:line="360" w:lineRule="auto"/>
        <w:ind w:left="709" w:right="714" w:hanging="425"/>
        <w:jc w:val="both"/>
        <w:rPr>
          <w:rFonts w:asciiTheme="majorHAnsi" w:hAnsiTheme="majorHAnsi" w:cs="Arial"/>
          <w:sz w:val="20"/>
          <w:szCs w:val="24"/>
        </w:rPr>
      </w:pPr>
      <w:r w:rsidRPr="000B45BE">
        <w:rPr>
          <w:rFonts w:asciiTheme="majorHAnsi" w:hAnsiTheme="majorHAnsi" w:cs="Arial"/>
          <w:sz w:val="20"/>
          <w:szCs w:val="24"/>
        </w:rPr>
        <w:t xml:space="preserve"> </w:t>
      </w:r>
      <w:r w:rsidR="0098178E" w:rsidRPr="000B45BE">
        <w:rPr>
          <w:rFonts w:asciiTheme="majorHAnsi" w:hAnsiTheme="majorHAnsi" w:cs="Arial"/>
          <w:sz w:val="20"/>
          <w:szCs w:val="24"/>
        </w:rPr>
        <w:t xml:space="preserve">[3] </w:t>
      </w:r>
      <w:r w:rsidRPr="000B45BE">
        <w:rPr>
          <w:rFonts w:asciiTheme="majorHAnsi" w:hAnsiTheme="majorHAnsi" w:cs="Arial"/>
          <w:sz w:val="20"/>
          <w:szCs w:val="24"/>
        </w:rPr>
        <w:t xml:space="preserve">Boost aggressively as altered immunocompetence may </w:t>
      </w:r>
      <w:r w:rsidR="002F0A2A" w:rsidRPr="000B45BE">
        <w:rPr>
          <w:rFonts w:asciiTheme="majorHAnsi" w:hAnsiTheme="majorHAnsi" w:cs="Arial"/>
          <w:sz w:val="20"/>
          <w:szCs w:val="24"/>
        </w:rPr>
        <w:t xml:space="preserve">decrease </w:t>
      </w:r>
      <w:r w:rsidRPr="000B45BE">
        <w:rPr>
          <w:rFonts w:asciiTheme="majorHAnsi" w:hAnsiTheme="majorHAnsi" w:cs="Arial"/>
          <w:sz w:val="20"/>
          <w:szCs w:val="24"/>
        </w:rPr>
        <w:t>the magnitude and duration of vaccine-induced protection.</w:t>
      </w:r>
    </w:p>
    <w:p w:rsidR="000B45BE" w:rsidRDefault="001C5FAF" w:rsidP="000B45BE">
      <w:pPr>
        <w:autoSpaceDE w:val="0"/>
        <w:autoSpaceDN w:val="0"/>
        <w:adjustRightInd w:val="0"/>
        <w:spacing w:after="0" w:line="360" w:lineRule="auto"/>
        <w:ind w:left="709" w:right="714" w:hanging="425"/>
        <w:jc w:val="both"/>
        <w:rPr>
          <w:rFonts w:asciiTheme="majorHAnsi" w:hAnsiTheme="majorHAnsi" w:cs="Arial"/>
          <w:sz w:val="20"/>
          <w:szCs w:val="24"/>
        </w:rPr>
      </w:pPr>
      <w:r w:rsidRPr="000B45BE">
        <w:rPr>
          <w:rFonts w:asciiTheme="majorHAnsi" w:hAnsiTheme="majorHAnsi" w:cs="Arial"/>
          <w:sz w:val="20"/>
          <w:szCs w:val="24"/>
        </w:rPr>
        <w:t xml:space="preserve"> </w:t>
      </w:r>
      <w:r w:rsidR="001732D0" w:rsidRPr="000B45BE">
        <w:rPr>
          <w:rFonts w:asciiTheme="majorHAnsi" w:hAnsiTheme="majorHAnsi" w:cs="Arial"/>
          <w:sz w:val="20"/>
          <w:szCs w:val="24"/>
        </w:rPr>
        <w:t>[</w:t>
      </w:r>
      <w:r w:rsidRPr="000B45BE">
        <w:rPr>
          <w:rFonts w:asciiTheme="majorHAnsi" w:hAnsiTheme="majorHAnsi" w:cs="Arial"/>
          <w:sz w:val="20"/>
          <w:szCs w:val="24"/>
        </w:rPr>
        <w:t>4</w:t>
      </w:r>
      <w:r w:rsidR="001732D0" w:rsidRPr="000B45BE">
        <w:rPr>
          <w:rFonts w:asciiTheme="majorHAnsi" w:hAnsiTheme="majorHAnsi" w:cs="Arial"/>
          <w:sz w:val="20"/>
          <w:szCs w:val="24"/>
        </w:rPr>
        <w:t>]</w:t>
      </w:r>
      <w:r w:rsidR="001732D0" w:rsidRPr="000B45BE">
        <w:rPr>
          <w:rFonts w:ascii="Times New Roman" w:hAnsi="Times New Roman"/>
          <w:sz w:val="20"/>
          <w:szCs w:val="24"/>
        </w:rPr>
        <w:t xml:space="preserve"> </w:t>
      </w:r>
      <w:r w:rsidR="00D51FB4" w:rsidRPr="000B45BE">
        <w:rPr>
          <w:rFonts w:asciiTheme="majorHAnsi" w:hAnsiTheme="majorHAnsi" w:cs="Arial"/>
          <w:sz w:val="20"/>
          <w:szCs w:val="24"/>
        </w:rPr>
        <w:t xml:space="preserve">Unless data is available to support their use, </w:t>
      </w:r>
      <w:r w:rsidR="002F0A2A" w:rsidRPr="000B45BE">
        <w:rPr>
          <w:rFonts w:asciiTheme="majorHAnsi" w:hAnsiTheme="majorHAnsi" w:cs="Arial"/>
          <w:sz w:val="20"/>
          <w:szCs w:val="24"/>
        </w:rPr>
        <w:t xml:space="preserve">postpone </w:t>
      </w:r>
      <w:r w:rsidR="00D51FB4" w:rsidRPr="000B45BE">
        <w:rPr>
          <w:rFonts w:asciiTheme="majorHAnsi" w:hAnsiTheme="majorHAnsi" w:cs="Arial"/>
          <w:sz w:val="20"/>
          <w:szCs w:val="24"/>
        </w:rPr>
        <w:t xml:space="preserve">live </w:t>
      </w:r>
      <w:r w:rsidR="007E04AF" w:rsidRPr="000B45BE">
        <w:rPr>
          <w:rFonts w:asciiTheme="majorHAnsi" w:hAnsiTheme="majorHAnsi" w:cs="Arial"/>
          <w:sz w:val="20"/>
          <w:szCs w:val="24"/>
        </w:rPr>
        <w:t xml:space="preserve">attenuated </w:t>
      </w:r>
      <w:r w:rsidR="00D51FB4" w:rsidRPr="000B45BE">
        <w:rPr>
          <w:rFonts w:asciiTheme="majorHAnsi" w:hAnsiTheme="majorHAnsi" w:cs="Arial"/>
          <w:sz w:val="20"/>
          <w:szCs w:val="24"/>
        </w:rPr>
        <w:t xml:space="preserve">vaccines </w:t>
      </w:r>
      <w:r w:rsidR="007E04AF" w:rsidRPr="000B45BE">
        <w:rPr>
          <w:rFonts w:asciiTheme="majorHAnsi" w:hAnsiTheme="majorHAnsi" w:cs="Arial"/>
          <w:sz w:val="20"/>
          <w:szCs w:val="24"/>
        </w:rPr>
        <w:t>until immune function has improved</w:t>
      </w:r>
      <w:r w:rsidR="00D51FB4" w:rsidRPr="000B45BE">
        <w:rPr>
          <w:rFonts w:asciiTheme="majorHAnsi" w:hAnsiTheme="majorHAnsi" w:cs="Arial"/>
          <w:sz w:val="20"/>
          <w:szCs w:val="24"/>
        </w:rPr>
        <w:t xml:space="preserve"> due to the risks of vaccine-associated infections. </w:t>
      </w:r>
    </w:p>
    <w:p w:rsidR="00A3764B" w:rsidRDefault="00A3764B" w:rsidP="000B45BE">
      <w:pPr>
        <w:autoSpaceDE w:val="0"/>
        <w:autoSpaceDN w:val="0"/>
        <w:adjustRightInd w:val="0"/>
        <w:spacing w:after="0" w:line="360" w:lineRule="auto"/>
        <w:ind w:left="709" w:right="714" w:hanging="425"/>
        <w:jc w:val="both"/>
        <w:rPr>
          <w:rFonts w:asciiTheme="majorHAnsi" w:hAnsiTheme="majorHAnsi" w:cs="Arial"/>
          <w:szCs w:val="24"/>
        </w:rPr>
      </w:pPr>
    </w:p>
    <w:p w:rsidR="00AC7F63" w:rsidRDefault="00C40C2E" w:rsidP="001C2C67">
      <w:pPr>
        <w:autoSpaceDE w:val="0"/>
        <w:autoSpaceDN w:val="0"/>
        <w:adjustRightInd w:val="0"/>
        <w:spacing w:after="0" w:line="480" w:lineRule="auto"/>
        <w:ind w:firstLine="709"/>
        <w:jc w:val="both"/>
        <w:rPr>
          <w:rFonts w:asciiTheme="majorHAnsi" w:hAnsiTheme="majorHAnsi"/>
          <w:sz w:val="24"/>
          <w:szCs w:val="24"/>
        </w:rPr>
      </w:pPr>
      <w:r w:rsidRPr="004B69AE">
        <w:rPr>
          <w:rFonts w:asciiTheme="majorHAnsi" w:hAnsiTheme="majorHAnsi" w:cs="Arial"/>
          <w:sz w:val="24"/>
          <w:szCs w:val="24"/>
        </w:rPr>
        <w:t xml:space="preserve">However, in spite of these </w:t>
      </w:r>
      <w:r w:rsidR="004B69AE" w:rsidRPr="004B69AE">
        <w:rPr>
          <w:rFonts w:asciiTheme="majorHAnsi" w:hAnsiTheme="majorHAnsi" w:cs="Arial"/>
          <w:sz w:val="24"/>
          <w:szCs w:val="24"/>
        </w:rPr>
        <w:t>guidelines</w:t>
      </w:r>
      <w:r w:rsidRPr="004B69AE">
        <w:rPr>
          <w:rFonts w:asciiTheme="majorHAnsi" w:hAnsiTheme="majorHAnsi" w:cs="Arial"/>
          <w:sz w:val="24"/>
          <w:szCs w:val="24"/>
        </w:rPr>
        <w:t xml:space="preserve">, many individuals continue to </w:t>
      </w:r>
      <w:r w:rsidR="001C5FAF">
        <w:rPr>
          <w:rFonts w:asciiTheme="majorHAnsi" w:hAnsiTheme="majorHAnsi" w:cs="Arial"/>
          <w:sz w:val="24"/>
          <w:szCs w:val="24"/>
        </w:rPr>
        <w:t>postpone</w:t>
      </w:r>
      <w:r w:rsidR="001C5FAF" w:rsidRPr="004B69AE">
        <w:rPr>
          <w:rFonts w:asciiTheme="majorHAnsi" w:hAnsiTheme="majorHAnsi" w:cs="Arial"/>
          <w:sz w:val="24"/>
          <w:szCs w:val="24"/>
        </w:rPr>
        <w:t xml:space="preserve"> </w:t>
      </w:r>
      <w:r w:rsidRPr="004B69AE">
        <w:rPr>
          <w:rFonts w:asciiTheme="majorHAnsi" w:hAnsiTheme="majorHAnsi" w:cs="Arial"/>
          <w:sz w:val="24"/>
          <w:szCs w:val="24"/>
        </w:rPr>
        <w:t xml:space="preserve">or refuse </w:t>
      </w:r>
      <w:r w:rsidR="0042630F">
        <w:rPr>
          <w:rFonts w:asciiTheme="majorHAnsi" w:hAnsiTheme="majorHAnsi" w:cs="Arial"/>
          <w:sz w:val="24"/>
          <w:szCs w:val="24"/>
        </w:rPr>
        <w:t xml:space="preserve">all forms of </w:t>
      </w:r>
      <w:r w:rsidRPr="004B69AE">
        <w:rPr>
          <w:rFonts w:asciiTheme="majorHAnsi" w:hAnsiTheme="majorHAnsi" w:cs="Arial"/>
          <w:sz w:val="24"/>
          <w:szCs w:val="24"/>
        </w:rPr>
        <w:t xml:space="preserve">immunizations </w:t>
      </w:r>
      <w:r w:rsidR="004B69AE" w:rsidRPr="004B69AE">
        <w:rPr>
          <w:rFonts w:asciiTheme="majorHAnsi" w:hAnsiTheme="majorHAnsi" w:cs="Arial"/>
          <w:sz w:val="24"/>
          <w:szCs w:val="24"/>
        </w:rPr>
        <w:t xml:space="preserve">due to unstable disease activity or </w:t>
      </w:r>
      <w:r w:rsidRPr="004B69AE">
        <w:rPr>
          <w:rFonts w:asciiTheme="majorHAnsi" w:hAnsiTheme="majorHAnsi" w:cs="Arial"/>
          <w:sz w:val="24"/>
          <w:szCs w:val="24"/>
        </w:rPr>
        <w:t>becaus</w:t>
      </w:r>
      <w:r w:rsidR="00123165">
        <w:rPr>
          <w:rFonts w:asciiTheme="majorHAnsi" w:hAnsiTheme="majorHAnsi" w:cs="Arial"/>
          <w:sz w:val="24"/>
          <w:szCs w:val="24"/>
        </w:rPr>
        <w:t xml:space="preserve">e of fear of </w:t>
      </w:r>
      <w:r w:rsidRPr="004B69AE">
        <w:rPr>
          <w:rFonts w:asciiTheme="majorHAnsi" w:hAnsiTheme="majorHAnsi" w:cs="Arial"/>
          <w:sz w:val="24"/>
          <w:szCs w:val="24"/>
        </w:rPr>
        <w:t>disease exacerbation.</w:t>
      </w:r>
      <w:r w:rsidR="001A758A">
        <w:rPr>
          <w:rFonts w:asciiTheme="majorHAnsi" w:hAnsiTheme="majorHAnsi" w:cs="Arial"/>
          <w:sz w:val="24"/>
          <w:szCs w:val="24"/>
        </w:rPr>
        <w:t xml:space="preserve"> </w:t>
      </w:r>
      <w:r w:rsidR="00141BAB" w:rsidRPr="00410CCB">
        <w:rPr>
          <w:rFonts w:asciiTheme="majorHAnsi" w:hAnsiTheme="majorHAnsi"/>
          <w:sz w:val="24"/>
          <w:szCs w:val="24"/>
        </w:rPr>
        <w:t>The childh</w:t>
      </w:r>
      <w:r w:rsidR="00141BAB">
        <w:rPr>
          <w:rFonts w:asciiTheme="majorHAnsi" w:hAnsiTheme="majorHAnsi"/>
          <w:sz w:val="24"/>
          <w:szCs w:val="24"/>
        </w:rPr>
        <w:t>ood immunization schedule varies between provinces in Canada. T</w:t>
      </w:r>
      <w:r w:rsidR="00141BAB" w:rsidRPr="00410CCB">
        <w:rPr>
          <w:rFonts w:asciiTheme="majorHAnsi" w:hAnsiTheme="majorHAnsi"/>
          <w:sz w:val="24"/>
          <w:szCs w:val="24"/>
        </w:rPr>
        <w:t>he schedule for the province of Al</w:t>
      </w:r>
      <w:r w:rsidR="00141BAB">
        <w:rPr>
          <w:rFonts w:asciiTheme="majorHAnsi" w:hAnsiTheme="majorHAnsi"/>
          <w:sz w:val="24"/>
          <w:szCs w:val="24"/>
        </w:rPr>
        <w:t xml:space="preserve">berta is outlined in </w:t>
      </w:r>
      <w:r w:rsidR="00141BAB" w:rsidRPr="00C22CDB">
        <w:rPr>
          <w:rFonts w:asciiTheme="majorHAnsi" w:hAnsiTheme="majorHAnsi"/>
          <w:sz w:val="24"/>
          <w:szCs w:val="24"/>
        </w:rPr>
        <w:t>Table 1.</w:t>
      </w:r>
      <w:r w:rsidR="006F2DA0" w:rsidRPr="00C22CDB">
        <w:rPr>
          <w:rStyle w:val="EndnoteReference"/>
          <w:rFonts w:asciiTheme="majorHAnsi" w:hAnsiTheme="majorHAnsi"/>
          <w:szCs w:val="24"/>
        </w:rPr>
        <w:t>(</w:t>
      </w:r>
      <w:r w:rsidR="006F2DA0" w:rsidRPr="00C22CDB">
        <w:rPr>
          <w:rStyle w:val="EndnoteReference"/>
          <w:rFonts w:asciiTheme="majorHAnsi" w:hAnsiTheme="majorHAnsi"/>
          <w:szCs w:val="24"/>
        </w:rPr>
        <w:endnoteReference w:id="5"/>
      </w:r>
      <w:r w:rsidR="006F2DA0" w:rsidRPr="00C22CDB">
        <w:rPr>
          <w:rStyle w:val="EndnoteReference"/>
          <w:rFonts w:asciiTheme="majorHAnsi" w:hAnsiTheme="majorHAnsi"/>
          <w:szCs w:val="24"/>
        </w:rPr>
        <w:t>)</w:t>
      </w:r>
      <w:r w:rsidR="00141BAB" w:rsidRPr="00C22CDB">
        <w:rPr>
          <w:rFonts w:asciiTheme="majorHAnsi" w:hAnsiTheme="majorHAnsi"/>
          <w:sz w:val="24"/>
          <w:szCs w:val="24"/>
        </w:rPr>
        <w:t xml:space="preserve"> In</w:t>
      </w:r>
      <w:r w:rsidR="00141BAB" w:rsidRPr="00410CCB">
        <w:rPr>
          <w:rFonts w:asciiTheme="majorHAnsi" w:hAnsiTheme="majorHAnsi"/>
          <w:sz w:val="24"/>
          <w:szCs w:val="24"/>
        </w:rPr>
        <w:t xml:space="preserve"> the last </w:t>
      </w:r>
      <w:r w:rsidR="00141BAB" w:rsidRPr="00410CCB">
        <w:rPr>
          <w:rFonts w:asciiTheme="majorHAnsi" w:hAnsiTheme="majorHAnsi"/>
          <w:sz w:val="24"/>
          <w:szCs w:val="24"/>
        </w:rPr>
        <w:lastRenderedPageBreak/>
        <w:t>decade, additions to the Alberta schedule included Var</w:t>
      </w:r>
      <w:r w:rsidR="00A3764B">
        <w:rPr>
          <w:rFonts w:asciiTheme="majorHAnsi" w:hAnsiTheme="majorHAnsi"/>
          <w:sz w:val="24"/>
          <w:szCs w:val="24"/>
        </w:rPr>
        <w:t>icella vaccine (</w:t>
      </w:r>
      <w:r w:rsidR="00141BAB" w:rsidRPr="00410CCB">
        <w:rPr>
          <w:rFonts w:asciiTheme="majorHAnsi" w:hAnsiTheme="majorHAnsi"/>
          <w:sz w:val="24"/>
          <w:szCs w:val="24"/>
        </w:rPr>
        <w:t>2001</w:t>
      </w:r>
      <w:r w:rsidR="00A3764B">
        <w:rPr>
          <w:rFonts w:asciiTheme="majorHAnsi" w:hAnsiTheme="majorHAnsi"/>
          <w:sz w:val="24"/>
          <w:szCs w:val="24"/>
        </w:rPr>
        <w:t>)</w:t>
      </w:r>
      <w:r w:rsidR="00141BAB" w:rsidRPr="00410CCB">
        <w:rPr>
          <w:rFonts w:asciiTheme="majorHAnsi" w:hAnsiTheme="majorHAnsi"/>
          <w:sz w:val="24"/>
          <w:szCs w:val="24"/>
        </w:rPr>
        <w:t xml:space="preserve">, Pneumococcal conjugate vaccine (Pneumococcal conjugate vaccine - 7-valent: 2002, Pneumococcal conjugate vaccine - 13-valent: 2010), Meningococcal-C conjugate vaccine </w:t>
      </w:r>
      <w:r w:rsidR="00A3764B">
        <w:rPr>
          <w:rFonts w:asciiTheme="majorHAnsi" w:hAnsiTheme="majorHAnsi"/>
          <w:sz w:val="24"/>
          <w:szCs w:val="24"/>
        </w:rPr>
        <w:t>(</w:t>
      </w:r>
      <w:r w:rsidR="00141BAB" w:rsidRPr="00410CCB">
        <w:rPr>
          <w:rFonts w:asciiTheme="majorHAnsi" w:hAnsiTheme="majorHAnsi"/>
          <w:sz w:val="24"/>
          <w:szCs w:val="24"/>
        </w:rPr>
        <w:t>2002</w:t>
      </w:r>
      <w:r w:rsidR="00A3764B">
        <w:rPr>
          <w:rFonts w:asciiTheme="majorHAnsi" w:hAnsiTheme="majorHAnsi"/>
          <w:sz w:val="24"/>
          <w:szCs w:val="24"/>
        </w:rPr>
        <w:t>)</w:t>
      </w:r>
      <w:r w:rsidR="00141BAB" w:rsidRPr="00410CCB">
        <w:rPr>
          <w:rFonts w:asciiTheme="majorHAnsi" w:hAnsiTheme="majorHAnsi"/>
          <w:sz w:val="24"/>
          <w:szCs w:val="24"/>
        </w:rPr>
        <w:t>, Meningococcal Conjugate Vac</w:t>
      </w:r>
      <w:r w:rsidR="00A3764B">
        <w:rPr>
          <w:rFonts w:asciiTheme="majorHAnsi" w:hAnsiTheme="majorHAnsi"/>
          <w:sz w:val="24"/>
          <w:szCs w:val="24"/>
        </w:rPr>
        <w:t>cine (Groups A, C, W-135, and Y:</w:t>
      </w:r>
      <w:r w:rsidR="00141BAB" w:rsidRPr="00410CCB">
        <w:rPr>
          <w:rFonts w:asciiTheme="majorHAnsi" w:hAnsiTheme="majorHAnsi"/>
          <w:sz w:val="24"/>
          <w:szCs w:val="24"/>
        </w:rPr>
        <w:t xml:space="preserve"> 2011</w:t>
      </w:r>
      <w:r w:rsidR="00A3764B">
        <w:rPr>
          <w:rFonts w:asciiTheme="majorHAnsi" w:hAnsiTheme="majorHAnsi"/>
          <w:sz w:val="24"/>
          <w:szCs w:val="24"/>
        </w:rPr>
        <w:t>)</w:t>
      </w:r>
      <w:r w:rsidR="00141BAB" w:rsidRPr="00410CCB">
        <w:rPr>
          <w:rFonts w:asciiTheme="majorHAnsi" w:hAnsiTheme="majorHAnsi"/>
          <w:sz w:val="24"/>
          <w:szCs w:val="24"/>
        </w:rPr>
        <w:t xml:space="preserve">, and Human </w:t>
      </w:r>
      <w:proofErr w:type="spellStart"/>
      <w:r w:rsidR="00141BAB" w:rsidRPr="00410CCB">
        <w:rPr>
          <w:rFonts w:asciiTheme="majorHAnsi" w:hAnsiTheme="majorHAnsi"/>
          <w:sz w:val="24"/>
          <w:szCs w:val="24"/>
        </w:rPr>
        <w:t>papilloma</w:t>
      </w:r>
      <w:proofErr w:type="spellEnd"/>
      <w:r w:rsidR="00141BAB" w:rsidRPr="00410CCB">
        <w:rPr>
          <w:rFonts w:asciiTheme="majorHAnsi" w:hAnsiTheme="majorHAnsi"/>
          <w:sz w:val="24"/>
          <w:szCs w:val="24"/>
        </w:rPr>
        <w:t xml:space="preserve"> virus vaccine (2008). </w:t>
      </w:r>
    </w:p>
    <w:p w:rsidR="00123165" w:rsidRDefault="00123165" w:rsidP="00AA302A">
      <w:pPr>
        <w:autoSpaceDE w:val="0"/>
        <w:autoSpaceDN w:val="0"/>
        <w:adjustRightInd w:val="0"/>
        <w:spacing w:after="0" w:line="480" w:lineRule="auto"/>
        <w:jc w:val="both"/>
        <w:rPr>
          <w:rFonts w:asciiTheme="majorHAnsi" w:hAnsiTheme="majorHAnsi"/>
          <w:sz w:val="24"/>
          <w:szCs w:val="24"/>
        </w:rPr>
      </w:pPr>
    </w:p>
    <w:tbl>
      <w:tblPr>
        <w:tblW w:w="9498" w:type="dxa"/>
        <w:jc w:val="center"/>
        <w:tblInd w:w="108" w:type="dxa"/>
        <w:tblLook w:val="04A0"/>
      </w:tblPr>
      <w:tblGrid>
        <w:gridCol w:w="1560"/>
        <w:gridCol w:w="7938"/>
      </w:tblGrid>
      <w:tr w:rsidR="00AA302A" w:rsidRPr="00AA302A" w:rsidTr="00E65849">
        <w:trPr>
          <w:trHeight w:val="255"/>
          <w:jc w:val="center"/>
        </w:trPr>
        <w:tc>
          <w:tcPr>
            <w:tcW w:w="9498" w:type="dxa"/>
            <w:gridSpan w:val="2"/>
            <w:tcBorders>
              <w:top w:val="single" w:sz="12" w:space="0" w:color="auto"/>
              <w:left w:val="nil"/>
              <w:bottom w:val="single" w:sz="12" w:space="0" w:color="auto"/>
              <w:right w:val="nil"/>
            </w:tcBorders>
            <w:shd w:val="clear" w:color="auto" w:fill="auto"/>
            <w:noWrap/>
            <w:vAlign w:val="bottom"/>
            <w:hideMark/>
          </w:tcPr>
          <w:p w:rsidR="00AA302A" w:rsidRPr="00AA302A" w:rsidRDefault="00AA302A" w:rsidP="00E65849">
            <w:pPr>
              <w:spacing w:after="0" w:line="360" w:lineRule="auto"/>
              <w:rPr>
                <w:rFonts w:eastAsia="Times New Roman"/>
                <w:b/>
                <w:bCs/>
                <w:color w:val="000000"/>
                <w:sz w:val="20"/>
                <w:szCs w:val="20"/>
                <w:lang w:eastAsia="zh-TW"/>
              </w:rPr>
            </w:pPr>
            <w:r w:rsidRPr="00AA302A">
              <w:rPr>
                <w:rFonts w:eastAsia="Times New Roman"/>
                <w:b/>
                <w:bCs/>
                <w:color w:val="000000"/>
                <w:sz w:val="20"/>
                <w:szCs w:val="20"/>
                <w:lang w:eastAsia="zh-TW"/>
              </w:rPr>
              <w:t xml:space="preserve">Table 1: Alberta Childhood Vaccination Schedule </w:t>
            </w:r>
          </w:p>
        </w:tc>
      </w:tr>
      <w:tr w:rsidR="00AA302A" w:rsidRPr="00AA302A" w:rsidTr="00E65849">
        <w:trPr>
          <w:trHeight w:val="255"/>
          <w:jc w:val="center"/>
        </w:trPr>
        <w:tc>
          <w:tcPr>
            <w:tcW w:w="1560" w:type="dxa"/>
            <w:tcBorders>
              <w:top w:val="nil"/>
              <w:left w:val="nil"/>
              <w:bottom w:val="nil"/>
              <w:right w:val="nil"/>
            </w:tcBorders>
            <w:shd w:val="clear" w:color="auto" w:fill="auto"/>
            <w:hideMark/>
          </w:tcPr>
          <w:p w:rsidR="00AA302A" w:rsidRPr="00AA302A" w:rsidRDefault="00AA302A" w:rsidP="00E65849">
            <w:pPr>
              <w:spacing w:after="0" w:line="360" w:lineRule="auto"/>
              <w:jc w:val="center"/>
              <w:rPr>
                <w:rFonts w:ascii="Cambria" w:eastAsia="Times New Roman" w:hAnsi="Cambria"/>
                <w:b/>
                <w:bCs/>
                <w:color w:val="000000"/>
                <w:sz w:val="20"/>
                <w:szCs w:val="20"/>
                <w:lang w:eastAsia="zh-TW"/>
              </w:rPr>
            </w:pPr>
            <w:r w:rsidRPr="00AA302A">
              <w:rPr>
                <w:rFonts w:ascii="Cambria" w:eastAsia="Times New Roman" w:hAnsi="Cambria"/>
                <w:b/>
                <w:bCs/>
                <w:color w:val="000000"/>
                <w:sz w:val="20"/>
                <w:szCs w:val="20"/>
                <w:lang w:eastAsia="zh-TW"/>
              </w:rPr>
              <w:t xml:space="preserve">Age </w:t>
            </w: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jc w:val="center"/>
              <w:rPr>
                <w:rFonts w:ascii="Cambria" w:eastAsia="Times New Roman" w:hAnsi="Cambria"/>
                <w:b/>
                <w:bCs/>
                <w:color w:val="000000"/>
                <w:sz w:val="20"/>
                <w:szCs w:val="20"/>
                <w:lang w:eastAsia="zh-TW"/>
              </w:rPr>
            </w:pPr>
            <w:r w:rsidRPr="00AA302A">
              <w:rPr>
                <w:rFonts w:ascii="Cambria" w:eastAsia="Times New Roman" w:hAnsi="Cambria"/>
                <w:b/>
                <w:bCs/>
                <w:color w:val="000000"/>
                <w:sz w:val="20"/>
                <w:szCs w:val="20"/>
                <w:lang w:eastAsia="zh-TW"/>
              </w:rPr>
              <w:t>Vaccine</w:t>
            </w:r>
          </w:p>
        </w:tc>
      </w:tr>
      <w:tr w:rsidR="00AA302A" w:rsidRPr="00AA302A" w:rsidTr="00E65849">
        <w:trPr>
          <w:trHeight w:val="255"/>
          <w:jc w:val="center"/>
        </w:trPr>
        <w:tc>
          <w:tcPr>
            <w:tcW w:w="1560" w:type="dxa"/>
            <w:vMerge w:val="restart"/>
            <w:tcBorders>
              <w:top w:val="single" w:sz="4" w:space="0" w:color="auto"/>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xml:space="preserve">2 months </w:t>
            </w:r>
          </w:p>
        </w:tc>
        <w:tc>
          <w:tcPr>
            <w:tcW w:w="7938" w:type="dxa"/>
            <w:tcBorders>
              <w:top w:val="single" w:sz="4" w:space="0" w:color="auto"/>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DTaP-IPV-Hib</w:t>
            </w:r>
            <w:r w:rsidRPr="00AA302A">
              <w:rPr>
                <w:rFonts w:ascii="Cambria" w:eastAsia="Times New Roman" w:hAnsi="Cambria"/>
                <w:color w:val="000000"/>
                <w:sz w:val="20"/>
                <w:szCs w:val="20"/>
                <w:vertAlign w:val="superscript"/>
                <w:lang w:eastAsia="zh-TW"/>
              </w:rPr>
              <w:t>1</w:t>
            </w:r>
          </w:p>
        </w:tc>
      </w:tr>
      <w:tr w:rsidR="00AA302A" w:rsidRPr="00AA302A" w:rsidTr="00E65849">
        <w:trPr>
          <w:trHeight w:val="255"/>
          <w:jc w:val="center"/>
        </w:trPr>
        <w:tc>
          <w:tcPr>
            <w:tcW w:w="1560" w:type="dxa"/>
            <w:vMerge/>
            <w:tcBorders>
              <w:top w:val="single" w:sz="4" w:space="0" w:color="auto"/>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Pneumococcal conjugate (PCV13)</w:t>
            </w:r>
          </w:p>
        </w:tc>
      </w:tr>
      <w:tr w:rsidR="00AA302A" w:rsidRPr="00AA302A" w:rsidTr="00E65849">
        <w:trPr>
          <w:trHeight w:val="255"/>
          <w:jc w:val="center"/>
        </w:trPr>
        <w:tc>
          <w:tcPr>
            <w:tcW w:w="1560" w:type="dxa"/>
            <w:vMerge/>
            <w:tcBorders>
              <w:top w:val="single" w:sz="4" w:space="0" w:color="auto"/>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single" w:sz="4" w:space="0" w:color="auto"/>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Meningococcal conjugate (Men C)</w:t>
            </w:r>
          </w:p>
        </w:tc>
      </w:tr>
      <w:tr w:rsidR="00AA302A" w:rsidRPr="00AA302A" w:rsidTr="00E65849">
        <w:trPr>
          <w:trHeight w:val="255"/>
          <w:jc w:val="center"/>
        </w:trPr>
        <w:tc>
          <w:tcPr>
            <w:tcW w:w="1560" w:type="dxa"/>
            <w:vMerge w:val="restart"/>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4 months</w:t>
            </w: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xml:space="preserve">• </w:t>
            </w:r>
            <w:proofErr w:type="spellStart"/>
            <w:r w:rsidRPr="00AA302A">
              <w:rPr>
                <w:rFonts w:ascii="Cambria" w:eastAsia="Times New Roman" w:hAnsi="Cambria"/>
                <w:color w:val="000000"/>
                <w:sz w:val="20"/>
                <w:szCs w:val="20"/>
                <w:lang w:eastAsia="zh-TW"/>
              </w:rPr>
              <w:t>DTaP</w:t>
            </w:r>
            <w:proofErr w:type="spellEnd"/>
            <w:r w:rsidRPr="00AA302A">
              <w:rPr>
                <w:rFonts w:ascii="Cambria" w:eastAsia="Times New Roman" w:hAnsi="Cambria"/>
                <w:color w:val="000000"/>
                <w:sz w:val="20"/>
                <w:szCs w:val="20"/>
                <w:lang w:eastAsia="zh-TW"/>
              </w:rPr>
              <w:t>-IPV-</w:t>
            </w:r>
            <w:proofErr w:type="spellStart"/>
            <w:r w:rsidRPr="00AA302A">
              <w:rPr>
                <w:rFonts w:ascii="Cambria" w:eastAsia="Times New Roman" w:hAnsi="Cambria"/>
                <w:color w:val="000000"/>
                <w:sz w:val="20"/>
                <w:szCs w:val="20"/>
                <w:lang w:eastAsia="zh-TW"/>
              </w:rPr>
              <w:t>Hib</w:t>
            </w:r>
            <w:proofErr w:type="spellEnd"/>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Pneumococcal conjugate (PCV13)</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single" w:sz="4" w:space="0" w:color="auto"/>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Meningococcal conjugate (Men C)</w:t>
            </w:r>
          </w:p>
        </w:tc>
      </w:tr>
      <w:tr w:rsidR="00AA302A" w:rsidRPr="00AA302A" w:rsidTr="00E65849">
        <w:trPr>
          <w:trHeight w:val="255"/>
          <w:jc w:val="center"/>
        </w:trPr>
        <w:tc>
          <w:tcPr>
            <w:tcW w:w="1560" w:type="dxa"/>
            <w:vMerge w:val="restart"/>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6 months</w:t>
            </w: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xml:space="preserve">• </w:t>
            </w:r>
            <w:proofErr w:type="spellStart"/>
            <w:r w:rsidRPr="00AA302A">
              <w:rPr>
                <w:rFonts w:ascii="Cambria" w:eastAsia="Times New Roman" w:hAnsi="Cambria"/>
                <w:color w:val="000000"/>
                <w:sz w:val="20"/>
                <w:szCs w:val="20"/>
                <w:lang w:eastAsia="zh-TW"/>
              </w:rPr>
              <w:t>DTaP</w:t>
            </w:r>
            <w:proofErr w:type="spellEnd"/>
            <w:r w:rsidRPr="00AA302A">
              <w:rPr>
                <w:rFonts w:ascii="Cambria" w:eastAsia="Times New Roman" w:hAnsi="Cambria"/>
                <w:color w:val="000000"/>
                <w:sz w:val="20"/>
                <w:szCs w:val="20"/>
                <w:lang w:eastAsia="zh-TW"/>
              </w:rPr>
              <w:t>-IPV-</w:t>
            </w:r>
            <w:proofErr w:type="spellStart"/>
            <w:r w:rsidRPr="00AA302A">
              <w:rPr>
                <w:rFonts w:ascii="Cambria" w:eastAsia="Times New Roman" w:hAnsi="Cambria"/>
                <w:color w:val="000000"/>
                <w:sz w:val="20"/>
                <w:szCs w:val="20"/>
                <w:lang w:eastAsia="zh-TW"/>
              </w:rPr>
              <w:t>Hib</w:t>
            </w:r>
            <w:proofErr w:type="spellEnd"/>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Pneumococcal conjugate (PCV13) (for high risk children only)</w:t>
            </w:r>
          </w:p>
        </w:tc>
      </w:tr>
      <w:tr w:rsidR="00AA302A" w:rsidRPr="00AA302A" w:rsidTr="00E65849">
        <w:trPr>
          <w:trHeight w:val="255"/>
          <w:jc w:val="center"/>
        </w:trPr>
        <w:tc>
          <w:tcPr>
            <w:tcW w:w="1560" w:type="dxa"/>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xml:space="preserve">≥ 6 months </w:t>
            </w:r>
          </w:p>
        </w:tc>
        <w:tc>
          <w:tcPr>
            <w:tcW w:w="7938" w:type="dxa"/>
            <w:tcBorders>
              <w:top w:val="single" w:sz="4" w:space="0" w:color="auto"/>
              <w:left w:val="nil"/>
              <w:bottom w:val="single" w:sz="4" w:space="0" w:color="auto"/>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Influenza</w:t>
            </w:r>
            <w:r w:rsidRPr="00AA302A">
              <w:rPr>
                <w:rFonts w:ascii="Cambria" w:eastAsia="Times New Roman" w:hAnsi="Cambria"/>
                <w:color w:val="000000"/>
                <w:sz w:val="20"/>
                <w:szCs w:val="20"/>
                <w:vertAlign w:val="superscript"/>
                <w:lang w:eastAsia="zh-TW"/>
              </w:rPr>
              <w:t>2</w:t>
            </w:r>
          </w:p>
        </w:tc>
      </w:tr>
      <w:tr w:rsidR="00AA302A" w:rsidRPr="00AA302A" w:rsidTr="00E65849">
        <w:trPr>
          <w:trHeight w:val="255"/>
          <w:jc w:val="center"/>
        </w:trPr>
        <w:tc>
          <w:tcPr>
            <w:tcW w:w="1560" w:type="dxa"/>
            <w:vMerge w:val="restart"/>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12 months</w:t>
            </w: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MMRV</w:t>
            </w:r>
            <w:r w:rsidRPr="00AA302A">
              <w:rPr>
                <w:rFonts w:ascii="Cambria" w:eastAsia="Times New Roman" w:hAnsi="Cambria"/>
                <w:color w:val="000000"/>
                <w:sz w:val="20"/>
                <w:szCs w:val="20"/>
                <w:vertAlign w:val="superscript"/>
                <w:lang w:eastAsia="zh-TW"/>
              </w:rPr>
              <w:t>3</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Meningococcal conjugate (Men C)</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Pneumococcal conjugate (PCV13)</w:t>
            </w:r>
          </w:p>
        </w:tc>
      </w:tr>
      <w:tr w:rsidR="00AA302A" w:rsidRPr="00AA302A" w:rsidTr="00E65849">
        <w:trPr>
          <w:trHeight w:val="255"/>
          <w:jc w:val="center"/>
        </w:trPr>
        <w:tc>
          <w:tcPr>
            <w:tcW w:w="1560" w:type="dxa"/>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18 months</w:t>
            </w:r>
          </w:p>
        </w:tc>
        <w:tc>
          <w:tcPr>
            <w:tcW w:w="7938" w:type="dxa"/>
            <w:tcBorders>
              <w:top w:val="single" w:sz="4" w:space="0" w:color="auto"/>
              <w:left w:val="nil"/>
              <w:bottom w:val="single" w:sz="4" w:space="0" w:color="auto"/>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xml:space="preserve">• </w:t>
            </w:r>
            <w:proofErr w:type="spellStart"/>
            <w:r w:rsidRPr="00AA302A">
              <w:rPr>
                <w:rFonts w:ascii="Cambria" w:eastAsia="Times New Roman" w:hAnsi="Cambria"/>
                <w:color w:val="000000"/>
                <w:sz w:val="20"/>
                <w:szCs w:val="20"/>
                <w:lang w:eastAsia="zh-TW"/>
              </w:rPr>
              <w:t>DTaP</w:t>
            </w:r>
            <w:proofErr w:type="spellEnd"/>
            <w:r w:rsidRPr="00AA302A">
              <w:rPr>
                <w:rFonts w:ascii="Cambria" w:eastAsia="Times New Roman" w:hAnsi="Cambria"/>
                <w:color w:val="000000"/>
                <w:sz w:val="20"/>
                <w:szCs w:val="20"/>
                <w:lang w:eastAsia="zh-TW"/>
              </w:rPr>
              <w:t>-IPV-</w:t>
            </w:r>
            <w:proofErr w:type="spellStart"/>
            <w:r w:rsidRPr="00AA302A">
              <w:rPr>
                <w:rFonts w:ascii="Cambria" w:eastAsia="Times New Roman" w:hAnsi="Cambria"/>
                <w:color w:val="000000"/>
                <w:sz w:val="20"/>
                <w:szCs w:val="20"/>
                <w:lang w:eastAsia="zh-TW"/>
              </w:rPr>
              <w:t>Hib</w:t>
            </w:r>
            <w:proofErr w:type="spellEnd"/>
          </w:p>
        </w:tc>
      </w:tr>
      <w:tr w:rsidR="00AA302A" w:rsidRPr="00AA302A" w:rsidTr="00E65849">
        <w:trPr>
          <w:trHeight w:val="255"/>
          <w:jc w:val="center"/>
        </w:trPr>
        <w:tc>
          <w:tcPr>
            <w:tcW w:w="1560" w:type="dxa"/>
            <w:vMerge w:val="restart"/>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4–6 years</w:t>
            </w: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DTaP-IPV</w:t>
            </w:r>
            <w:r w:rsidRPr="00AA302A">
              <w:rPr>
                <w:rFonts w:ascii="Cambria" w:eastAsia="Times New Roman" w:hAnsi="Cambria"/>
                <w:color w:val="000000"/>
                <w:sz w:val="20"/>
                <w:szCs w:val="20"/>
                <w:vertAlign w:val="superscript"/>
                <w:lang w:eastAsia="zh-TW"/>
              </w:rPr>
              <w:t>4</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MMR</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single" w:sz="4" w:space="0" w:color="auto"/>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Pneumococcal conjugate (PCV13) only for children up to 71 months (catch up program)</w:t>
            </w:r>
          </w:p>
        </w:tc>
      </w:tr>
      <w:tr w:rsidR="00AA302A" w:rsidRPr="00AA302A" w:rsidTr="00E65849">
        <w:trPr>
          <w:trHeight w:val="255"/>
          <w:jc w:val="center"/>
        </w:trPr>
        <w:tc>
          <w:tcPr>
            <w:tcW w:w="1560" w:type="dxa"/>
            <w:vMerge w:val="restart"/>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Grade 5</w:t>
            </w: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Hepatitis B (3 doses)</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single" w:sz="4" w:space="0" w:color="auto"/>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HPV</w:t>
            </w:r>
            <w:r w:rsidRPr="00AA302A">
              <w:rPr>
                <w:rFonts w:ascii="Cambria" w:eastAsia="Times New Roman" w:hAnsi="Cambria"/>
                <w:color w:val="000000"/>
                <w:sz w:val="20"/>
                <w:szCs w:val="20"/>
                <w:vertAlign w:val="superscript"/>
                <w:lang w:eastAsia="zh-TW"/>
              </w:rPr>
              <w:t>5</w:t>
            </w:r>
            <w:r w:rsidRPr="00AA302A">
              <w:rPr>
                <w:rFonts w:ascii="Cambria" w:eastAsia="Times New Roman" w:hAnsi="Cambria"/>
                <w:color w:val="000000"/>
                <w:sz w:val="20"/>
                <w:szCs w:val="20"/>
                <w:lang w:eastAsia="zh-TW"/>
              </w:rPr>
              <w:t xml:space="preserve"> (3 doses for females)</w:t>
            </w:r>
          </w:p>
        </w:tc>
      </w:tr>
      <w:tr w:rsidR="00AA302A" w:rsidRPr="00AA302A" w:rsidTr="00E65849">
        <w:trPr>
          <w:trHeight w:val="255"/>
          <w:jc w:val="center"/>
        </w:trPr>
        <w:tc>
          <w:tcPr>
            <w:tcW w:w="1560" w:type="dxa"/>
            <w:vMerge w:val="restart"/>
            <w:tcBorders>
              <w:top w:val="nil"/>
              <w:left w:val="nil"/>
              <w:bottom w:val="single" w:sz="4" w:space="0" w:color="auto"/>
              <w:right w:val="single" w:sz="4" w:space="0" w:color="auto"/>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Grade 9</w:t>
            </w: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dTap</w:t>
            </w:r>
            <w:r w:rsidRPr="00AA302A">
              <w:rPr>
                <w:rFonts w:ascii="Cambria" w:eastAsia="Times New Roman" w:hAnsi="Cambria"/>
                <w:color w:val="000000"/>
                <w:sz w:val="20"/>
                <w:szCs w:val="20"/>
                <w:vertAlign w:val="superscript"/>
                <w:lang w:eastAsia="zh-TW"/>
              </w:rPr>
              <w:t>6</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nil"/>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HPV (Only female students for three years, from Sept. 2009 to June 2012: catch up program)</w:t>
            </w:r>
          </w:p>
        </w:tc>
      </w:tr>
      <w:tr w:rsidR="00AA302A" w:rsidRPr="00AA302A" w:rsidTr="00E65849">
        <w:trPr>
          <w:trHeight w:val="255"/>
          <w:jc w:val="center"/>
        </w:trPr>
        <w:tc>
          <w:tcPr>
            <w:tcW w:w="1560" w:type="dxa"/>
            <w:vMerge/>
            <w:tcBorders>
              <w:top w:val="nil"/>
              <w:left w:val="nil"/>
              <w:bottom w:val="single" w:sz="4" w:space="0" w:color="auto"/>
              <w:right w:val="single" w:sz="4" w:space="0" w:color="auto"/>
            </w:tcBorders>
            <w:vAlign w:val="center"/>
            <w:hideMark/>
          </w:tcPr>
          <w:p w:rsidR="00AA302A" w:rsidRPr="00AA302A" w:rsidRDefault="00AA302A" w:rsidP="00E65849">
            <w:pPr>
              <w:spacing w:after="0" w:line="360" w:lineRule="auto"/>
              <w:rPr>
                <w:rFonts w:ascii="Cambria" w:eastAsia="Times New Roman" w:hAnsi="Cambria"/>
                <w:color w:val="000000"/>
                <w:sz w:val="20"/>
                <w:szCs w:val="20"/>
                <w:lang w:eastAsia="zh-TW"/>
              </w:rPr>
            </w:pPr>
          </w:p>
        </w:tc>
        <w:tc>
          <w:tcPr>
            <w:tcW w:w="7938" w:type="dxa"/>
            <w:tcBorders>
              <w:top w:val="nil"/>
              <w:left w:val="nil"/>
              <w:bottom w:val="single" w:sz="4" w:space="0" w:color="auto"/>
              <w:right w:val="nil"/>
            </w:tcBorders>
            <w:shd w:val="clear" w:color="auto" w:fill="auto"/>
            <w:hideMark/>
          </w:tcPr>
          <w:p w:rsidR="00AA302A" w:rsidRPr="00AA302A" w:rsidRDefault="00AA302A" w:rsidP="00E65849">
            <w:pPr>
              <w:spacing w:after="0" w:line="360" w:lineRule="auto"/>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t>• MCV4</w:t>
            </w:r>
            <w:r w:rsidRPr="00AA302A">
              <w:rPr>
                <w:rFonts w:ascii="Cambria" w:eastAsia="Times New Roman" w:hAnsi="Cambria"/>
                <w:color w:val="000000"/>
                <w:sz w:val="20"/>
                <w:szCs w:val="20"/>
                <w:vertAlign w:val="superscript"/>
                <w:lang w:eastAsia="zh-TW"/>
              </w:rPr>
              <w:t xml:space="preserve">7 </w:t>
            </w:r>
          </w:p>
        </w:tc>
      </w:tr>
      <w:tr w:rsidR="00AA302A" w:rsidRPr="00AA302A" w:rsidTr="00E65849">
        <w:trPr>
          <w:trHeight w:val="1635"/>
          <w:jc w:val="center"/>
        </w:trPr>
        <w:tc>
          <w:tcPr>
            <w:tcW w:w="9498" w:type="dxa"/>
            <w:gridSpan w:val="2"/>
            <w:tcBorders>
              <w:top w:val="single" w:sz="4" w:space="0" w:color="auto"/>
              <w:left w:val="nil"/>
              <w:bottom w:val="single" w:sz="12" w:space="0" w:color="auto"/>
              <w:right w:val="nil"/>
            </w:tcBorders>
            <w:shd w:val="clear" w:color="auto" w:fill="auto"/>
            <w:vAlign w:val="bottom"/>
            <w:hideMark/>
          </w:tcPr>
          <w:p w:rsid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lang w:eastAsia="zh-TW"/>
              </w:rPr>
              <w:lastRenderedPageBreak/>
              <w:t>Government of Alberta Health and Wellne</w:t>
            </w:r>
            <w:r w:rsidR="00A3764B">
              <w:rPr>
                <w:rFonts w:ascii="Cambria" w:eastAsia="Times New Roman" w:hAnsi="Cambria"/>
                <w:color w:val="000000"/>
                <w:sz w:val="20"/>
                <w:szCs w:val="20"/>
                <w:lang w:eastAsia="zh-TW"/>
              </w:rPr>
              <w:t>ss, updated August 1, 2012 (</w:t>
            </w:r>
            <w:r w:rsidR="004260E2">
              <w:rPr>
                <w:rFonts w:asciiTheme="minorEastAsia" w:eastAsiaTheme="minorEastAsia" w:hAnsiTheme="minorEastAsia" w:hint="eastAsia"/>
                <w:color w:val="000000"/>
                <w:sz w:val="20"/>
                <w:szCs w:val="20"/>
                <w:lang w:eastAsia="zh-TW"/>
              </w:rPr>
              <w:t>5)</w:t>
            </w:r>
            <w:r w:rsidR="004260E2" w:rsidRPr="004260E2">
              <w:rPr>
                <w:rFonts w:asciiTheme="minorEastAsia" w:eastAsiaTheme="minorEastAsia" w:hAnsiTheme="minorEastAsia" w:hint="eastAsia"/>
                <w:color w:val="FFFFFF" w:themeColor="background1"/>
                <w:sz w:val="20"/>
                <w:szCs w:val="20"/>
                <w:lang w:eastAsia="zh-TW"/>
              </w:rPr>
              <w:t>(</w:t>
            </w:r>
            <w:r w:rsidR="00A3764B" w:rsidRPr="004260E2">
              <w:rPr>
                <w:rStyle w:val="EndnoteReference"/>
                <w:rFonts w:asciiTheme="majorHAnsi" w:hAnsiTheme="majorHAnsi"/>
                <w:color w:val="FFFFFF" w:themeColor="background1"/>
                <w:szCs w:val="24"/>
              </w:rPr>
              <w:endnoteReference w:id="6"/>
            </w:r>
            <w:r w:rsidRPr="004260E2">
              <w:rPr>
                <w:rFonts w:ascii="Cambria" w:eastAsia="Times New Roman" w:hAnsi="Cambria"/>
                <w:color w:val="FFFFFF" w:themeColor="background1"/>
                <w:sz w:val="20"/>
                <w:szCs w:val="20"/>
                <w:lang w:eastAsia="zh-TW"/>
              </w:rPr>
              <w:t>)</w:t>
            </w:r>
          </w:p>
          <w:p w:rsid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vertAlign w:val="superscript"/>
                <w:lang w:eastAsia="zh-TW"/>
              </w:rPr>
              <w:t>1</w:t>
            </w:r>
            <w:r w:rsidRPr="00AA302A">
              <w:rPr>
                <w:rFonts w:ascii="Cambria" w:eastAsia="Times New Roman" w:hAnsi="Cambria"/>
                <w:color w:val="000000"/>
                <w:sz w:val="20"/>
                <w:szCs w:val="20"/>
                <w:lang w:eastAsia="zh-TW"/>
              </w:rPr>
              <w:t xml:space="preserve"> Diphtheria, tetanus, </w:t>
            </w:r>
            <w:proofErr w:type="spellStart"/>
            <w:r w:rsidRPr="00AA302A">
              <w:rPr>
                <w:rFonts w:ascii="Cambria" w:eastAsia="Times New Roman" w:hAnsi="Cambria"/>
                <w:color w:val="000000"/>
                <w:sz w:val="20"/>
                <w:szCs w:val="20"/>
                <w:lang w:eastAsia="zh-TW"/>
              </w:rPr>
              <w:t>acellular</w:t>
            </w:r>
            <w:proofErr w:type="spellEnd"/>
            <w:r w:rsidRPr="00AA302A">
              <w:rPr>
                <w:rFonts w:ascii="Cambria" w:eastAsia="Times New Roman" w:hAnsi="Cambria"/>
                <w:color w:val="000000"/>
                <w:sz w:val="20"/>
                <w:szCs w:val="20"/>
                <w:lang w:eastAsia="zh-TW"/>
              </w:rPr>
              <w:t xml:space="preserve"> </w:t>
            </w:r>
            <w:proofErr w:type="spellStart"/>
            <w:r w:rsidRPr="00AA302A">
              <w:rPr>
                <w:rFonts w:ascii="Cambria" w:eastAsia="Times New Roman" w:hAnsi="Cambria"/>
                <w:color w:val="000000"/>
                <w:sz w:val="20"/>
                <w:szCs w:val="20"/>
                <w:lang w:eastAsia="zh-TW"/>
              </w:rPr>
              <w:t>pertussis</w:t>
            </w:r>
            <w:proofErr w:type="spellEnd"/>
            <w:r w:rsidRPr="00AA302A">
              <w:rPr>
                <w:rFonts w:ascii="Cambria" w:eastAsia="Times New Roman" w:hAnsi="Cambria"/>
                <w:color w:val="000000"/>
                <w:sz w:val="20"/>
                <w:szCs w:val="20"/>
                <w:lang w:eastAsia="zh-TW"/>
              </w:rPr>
              <w:t xml:space="preserve">, polio, </w:t>
            </w:r>
            <w:proofErr w:type="spellStart"/>
            <w:r w:rsidRPr="00AA302A">
              <w:rPr>
                <w:rFonts w:ascii="Cambria" w:eastAsia="Times New Roman" w:hAnsi="Cambria"/>
                <w:i/>
                <w:color w:val="000000"/>
                <w:sz w:val="20"/>
                <w:szCs w:val="20"/>
                <w:lang w:eastAsia="zh-TW"/>
              </w:rPr>
              <w:t>haemophilus</w:t>
            </w:r>
            <w:proofErr w:type="spellEnd"/>
            <w:r w:rsidRPr="00AA302A">
              <w:rPr>
                <w:rFonts w:ascii="Cambria" w:eastAsia="Times New Roman" w:hAnsi="Cambria"/>
                <w:i/>
                <w:color w:val="000000"/>
                <w:sz w:val="20"/>
                <w:szCs w:val="20"/>
                <w:lang w:eastAsia="zh-TW"/>
              </w:rPr>
              <w:t xml:space="preserve"> </w:t>
            </w:r>
            <w:proofErr w:type="spellStart"/>
            <w:r w:rsidRPr="00AA302A">
              <w:rPr>
                <w:rFonts w:ascii="Cambria" w:eastAsia="Times New Roman" w:hAnsi="Cambria"/>
                <w:i/>
                <w:color w:val="000000"/>
                <w:sz w:val="20"/>
                <w:szCs w:val="20"/>
                <w:lang w:eastAsia="zh-TW"/>
              </w:rPr>
              <w:t>influenza</w:t>
            </w:r>
            <w:r w:rsidR="00E65849">
              <w:rPr>
                <w:rFonts w:ascii="Cambria" w:eastAsia="Times New Roman" w:hAnsi="Cambria"/>
                <w:i/>
                <w:color w:val="000000"/>
                <w:sz w:val="20"/>
                <w:szCs w:val="20"/>
                <w:lang w:eastAsia="zh-TW"/>
              </w:rPr>
              <w:t>e</w:t>
            </w:r>
            <w:proofErr w:type="spellEnd"/>
            <w:r w:rsidRPr="00AA302A">
              <w:rPr>
                <w:rFonts w:ascii="Cambria" w:eastAsia="Times New Roman" w:hAnsi="Cambria"/>
                <w:color w:val="000000"/>
                <w:sz w:val="20"/>
                <w:szCs w:val="20"/>
                <w:lang w:eastAsia="zh-TW"/>
              </w:rPr>
              <w:t xml:space="preserve"> type b</w:t>
            </w:r>
          </w:p>
          <w:p w:rsid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vertAlign w:val="superscript"/>
                <w:lang w:eastAsia="zh-TW"/>
              </w:rPr>
              <w:t>2</w:t>
            </w:r>
            <w:r w:rsidRPr="00AA302A">
              <w:rPr>
                <w:rFonts w:ascii="Cambria" w:eastAsia="Times New Roman" w:hAnsi="Cambria"/>
                <w:color w:val="000000"/>
                <w:sz w:val="20"/>
                <w:szCs w:val="20"/>
                <w:lang w:eastAsia="zh-TW"/>
              </w:rPr>
              <w:t xml:space="preserve"> Ann</w:t>
            </w:r>
            <w:r>
              <w:rPr>
                <w:rFonts w:ascii="Cambria" w:eastAsia="Times New Roman" w:hAnsi="Cambria"/>
                <w:color w:val="000000"/>
                <w:sz w:val="20"/>
                <w:szCs w:val="20"/>
                <w:lang w:eastAsia="zh-TW"/>
              </w:rPr>
              <w:t xml:space="preserve">ually, during influenza season </w:t>
            </w:r>
          </w:p>
          <w:p w:rsid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vertAlign w:val="superscript"/>
                <w:lang w:eastAsia="zh-TW"/>
              </w:rPr>
              <w:t>3</w:t>
            </w:r>
            <w:r w:rsidRPr="00AA302A">
              <w:rPr>
                <w:rFonts w:ascii="Cambria" w:eastAsia="Times New Roman" w:hAnsi="Cambria"/>
                <w:color w:val="000000"/>
                <w:sz w:val="20"/>
                <w:szCs w:val="20"/>
                <w:lang w:eastAsia="zh-TW"/>
              </w:rPr>
              <w:t xml:space="preserve"> Measles, </w:t>
            </w:r>
            <w:r>
              <w:rPr>
                <w:rFonts w:ascii="Cambria" w:eastAsia="Times New Roman" w:hAnsi="Cambria"/>
                <w:color w:val="000000"/>
                <w:sz w:val="20"/>
                <w:szCs w:val="20"/>
                <w:lang w:eastAsia="zh-TW"/>
              </w:rPr>
              <w:t xml:space="preserve">mumps, rubella, and varicella  </w:t>
            </w:r>
          </w:p>
          <w:p w:rsid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vertAlign w:val="superscript"/>
                <w:lang w:eastAsia="zh-TW"/>
              </w:rPr>
              <w:t>4</w:t>
            </w:r>
            <w:r w:rsidRPr="00AA302A">
              <w:rPr>
                <w:rFonts w:ascii="Cambria" w:eastAsia="Times New Roman" w:hAnsi="Cambria"/>
                <w:color w:val="000000"/>
                <w:sz w:val="20"/>
                <w:szCs w:val="20"/>
                <w:lang w:eastAsia="zh-TW"/>
              </w:rPr>
              <w:t xml:space="preserve"> Diphtheria, tetanus</w:t>
            </w:r>
            <w:r>
              <w:rPr>
                <w:rFonts w:ascii="Cambria" w:eastAsia="Times New Roman" w:hAnsi="Cambria"/>
                <w:color w:val="000000"/>
                <w:sz w:val="20"/>
                <w:szCs w:val="20"/>
                <w:lang w:eastAsia="zh-TW"/>
              </w:rPr>
              <w:t xml:space="preserve">, </w:t>
            </w:r>
            <w:proofErr w:type="spellStart"/>
            <w:r>
              <w:rPr>
                <w:rFonts w:ascii="Cambria" w:eastAsia="Times New Roman" w:hAnsi="Cambria"/>
                <w:color w:val="000000"/>
                <w:sz w:val="20"/>
                <w:szCs w:val="20"/>
                <w:lang w:eastAsia="zh-TW"/>
              </w:rPr>
              <w:t>acellular</w:t>
            </w:r>
            <w:proofErr w:type="spellEnd"/>
            <w:r>
              <w:rPr>
                <w:rFonts w:ascii="Cambria" w:eastAsia="Times New Roman" w:hAnsi="Cambria"/>
                <w:color w:val="000000"/>
                <w:sz w:val="20"/>
                <w:szCs w:val="20"/>
                <w:lang w:eastAsia="zh-TW"/>
              </w:rPr>
              <w:t xml:space="preserve"> </w:t>
            </w:r>
            <w:proofErr w:type="spellStart"/>
            <w:r>
              <w:rPr>
                <w:rFonts w:ascii="Cambria" w:eastAsia="Times New Roman" w:hAnsi="Cambria"/>
                <w:color w:val="000000"/>
                <w:sz w:val="20"/>
                <w:szCs w:val="20"/>
                <w:lang w:eastAsia="zh-TW"/>
              </w:rPr>
              <w:t>pertussis</w:t>
            </w:r>
            <w:proofErr w:type="spellEnd"/>
            <w:r>
              <w:rPr>
                <w:rFonts w:ascii="Cambria" w:eastAsia="Times New Roman" w:hAnsi="Cambria"/>
                <w:color w:val="000000"/>
                <w:sz w:val="20"/>
                <w:szCs w:val="20"/>
                <w:lang w:eastAsia="zh-TW"/>
              </w:rPr>
              <w:t xml:space="preserve">, polio </w:t>
            </w:r>
          </w:p>
          <w:p w:rsid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vertAlign w:val="superscript"/>
                <w:lang w:eastAsia="zh-TW"/>
              </w:rPr>
              <w:t>5</w:t>
            </w:r>
            <w:r>
              <w:rPr>
                <w:rFonts w:ascii="Cambria" w:eastAsia="Times New Roman" w:hAnsi="Cambria"/>
                <w:color w:val="000000"/>
                <w:sz w:val="20"/>
                <w:szCs w:val="20"/>
                <w:lang w:eastAsia="zh-TW"/>
              </w:rPr>
              <w:t xml:space="preserve"> Human papilloma virus </w:t>
            </w:r>
          </w:p>
          <w:p w:rsid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vertAlign w:val="superscript"/>
                <w:lang w:eastAsia="zh-TW"/>
              </w:rPr>
              <w:t>6</w:t>
            </w:r>
            <w:r w:rsidRPr="00AA302A">
              <w:rPr>
                <w:rFonts w:ascii="Cambria" w:eastAsia="Times New Roman" w:hAnsi="Cambria"/>
                <w:color w:val="000000"/>
                <w:sz w:val="20"/>
                <w:szCs w:val="20"/>
                <w:lang w:eastAsia="zh-TW"/>
              </w:rPr>
              <w:t xml:space="preserve"> Diphtheria</w:t>
            </w:r>
            <w:r>
              <w:rPr>
                <w:rFonts w:ascii="Cambria" w:eastAsia="Times New Roman" w:hAnsi="Cambria"/>
                <w:color w:val="000000"/>
                <w:sz w:val="20"/>
                <w:szCs w:val="20"/>
                <w:lang w:eastAsia="zh-TW"/>
              </w:rPr>
              <w:t xml:space="preserve">, tetanus, </w:t>
            </w:r>
            <w:proofErr w:type="spellStart"/>
            <w:r>
              <w:rPr>
                <w:rFonts w:ascii="Cambria" w:eastAsia="Times New Roman" w:hAnsi="Cambria"/>
                <w:color w:val="000000"/>
                <w:sz w:val="20"/>
                <w:szCs w:val="20"/>
                <w:lang w:eastAsia="zh-TW"/>
              </w:rPr>
              <w:t>acellular</w:t>
            </w:r>
            <w:proofErr w:type="spellEnd"/>
            <w:r>
              <w:rPr>
                <w:rFonts w:ascii="Cambria" w:eastAsia="Times New Roman" w:hAnsi="Cambria"/>
                <w:color w:val="000000"/>
                <w:sz w:val="20"/>
                <w:szCs w:val="20"/>
                <w:lang w:eastAsia="zh-TW"/>
              </w:rPr>
              <w:t xml:space="preserve"> </w:t>
            </w:r>
            <w:proofErr w:type="spellStart"/>
            <w:r>
              <w:rPr>
                <w:rFonts w:ascii="Cambria" w:eastAsia="Times New Roman" w:hAnsi="Cambria"/>
                <w:color w:val="000000"/>
                <w:sz w:val="20"/>
                <w:szCs w:val="20"/>
                <w:lang w:eastAsia="zh-TW"/>
              </w:rPr>
              <w:t>pertussis</w:t>
            </w:r>
            <w:proofErr w:type="spellEnd"/>
            <w:r>
              <w:rPr>
                <w:rFonts w:ascii="Cambria" w:eastAsia="Times New Roman" w:hAnsi="Cambria"/>
                <w:color w:val="000000"/>
                <w:sz w:val="20"/>
                <w:szCs w:val="20"/>
                <w:lang w:eastAsia="zh-TW"/>
              </w:rPr>
              <w:t xml:space="preserve"> </w:t>
            </w:r>
          </w:p>
          <w:p w:rsidR="00AA302A" w:rsidRPr="00AA302A" w:rsidRDefault="00AA302A" w:rsidP="00E65849">
            <w:pPr>
              <w:spacing w:after="0" w:line="360" w:lineRule="auto"/>
              <w:jc w:val="both"/>
              <w:rPr>
                <w:rFonts w:ascii="Cambria" w:eastAsia="Times New Roman" w:hAnsi="Cambria"/>
                <w:color w:val="000000"/>
                <w:sz w:val="20"/>
                <w:szCs w:val="20"/>
                <w:lang w:eastAsia="zh-TW"/>
              </w:rPr>
            </w:pPr>
            <w:r w:rsidRPr="00AA302A">
              <w:rPr>
                <w:rFonts w:ascii="Cambria" w:eastAsia="Times New Roman" w:hAnsi="Cambria"/>
                <w:color w:val="000000"/>
                <w:sz w:val="20"/>
                <w:szCs w:val="20"/>
                <w:vertAlign w:val="superscript"/>
                <w:lang w:eastAsia="zh-TW"/>
              </w:rPr>
              <w:t>7</w:t>
            </w:r>
            <w:r w:rsidRPr="00AA302A">
              <w:rPr>
                <w:rFonts w:ascii="Cambria" w:eastAsia="Times New Roman" w:hAnsi="Cambria"/>
                <w:color w:val="000000"/>
                <w:sz w:val="20"/>
                <w:szCs w:val="20"/>
                <w:lang w:eastAsia="zh-TW"/>
              </w:rPr>
              <w:t xml:space="preserve"> Meningococcal Conjugate Vaccine (Groups A, C, W-135 and Y) </w:t>
            </w:r>
          </w:p>
        </w:tc>
      </w:tr>
    </w:tbl>
    <w:p w:rsidR="001C2C67" w:rsidRPr="000B45BE" w:rsidRDefault="001C2C67" w:rsidP="00123165">
      <w:pPr>
        <w:spacing w:after="0" w:line="480" w:lineRule="auto"/>
        <w:rPr>
          <w:rFonts w:asciiTheme="majorHAnsi" w:eastAsia="Times New Roman" w:hAnsiTheme="majorHAnsi"/>
          <w:sz w:val="20"/>
          <w:szCs w:val="20"/>
        </w:rPr>
      </w:pPr>
    </w:p>
    <w:p w:rsidR="000945A1" w:rsidRPr="00365D0A" w:rsidRDefault="00D60262" w:rsidP="00AC7F63">
      <w:pPr>
        <w:autoSpaceDE w:val="0"/>
        <w:autoSpaceDN w:val="0"/>
        <w:adjustRightInd w:val="0"/>
        <w:spacing w:after="0" w:line="480" w:lineRule="auto"/>
        <w:ind w:firstLine="720"/>
        <w:jc w:val="both"/>
        <w:rPr>
          <w:rFonts w:asciiTheme="majorHAnsi" w:hAnsiTheme="majorHAnsi" w:cs="Arial"/>
          <w:sz w:val="24"/>
          <w:szCs w:val="24"/>
        </w:rPr>
      </w:pPr>
      <w:r w:rsidRPr="000945A1">
        <w:rPr>
          <w:rFonts w:asciiTheme="majorHAnsi" w:hAnsiTheme="majorHAnsi" w:cs="Arial"/>
          <w:sz w:val="24"/>
          <w:szCs w:val="24"/>
        </w:rPr>
        <w:t>In children with IBD, the completeness of routine childhood vaccinations along with the presence and duration of serologic protection to routine</w:t>
      </w:r>
      <w:r w:rsidR="00365D0A" w:rsidRPr="000945A1">
        <w:rPr>
          <w:rFonts w:asciiTheme="majorHAnsi" w:hAnsiTheme="majorHAnsi" w:cs="Arial"/>
          <w:sz w:val="24"/>
          <w:szCs w:val="24"/>
        </w:rPr>
        <w:t xml:space="preserve"> childhood vaccines are unknown.</w:t>
      </w:r>
      <w:r w:rsidRPr="000945A1">
        <w:rPr>
          <w:rFonts w:asciiTheme="majorHAnsi" w:hAnsiTheme="majorHAnsi" w:cs="Arial"/>
          <w:sz w:val="24"/>
          <w:szCs w:val="24"/>
        </w:rPr>
        <w:t xml:space="preserve"> </w:t>
      </w:r>
      <w:r w:rsidR="00365D0A" w:rsidRPr="000945A1">
        <w:rPr>
          <w:rFonts w:asciiTheme="majorHAnsi" w:hAnsiTheme="majorHAnsi" w:cs="Arial"/>
          <w:sz w:val="24"/>
          <w:szCs w:val="24"/>
        </w:rPr>
        <w:t>T</w:t>
      </w:r>
      <w:r w:rsidRPr="000945A1">
        <w:rPr>
          <w:rFonts w:asciiTheme="majorHAnsi" w:hAnsiTheme="majorHAnsi" w:cs="Arial"/>
          <w:sz w:val="24"/>
          <w:szCs w:val="24"/>
        </w:rPr>
        <w:t xml:space="preserve">he relationship between immunosuppressive therapy at time of or after vaccination on duration of serologic protection is also unknown.  Knowledge of the presence and duration of serologic protection to </w:t>
      </w:r>
      <w:r w:rsidR="000945A1" w:rsidRPr="000945A1">
        <w:rPr>
          <w:rFonts w:asciiTheme="majorHAnsi" w:hAnsiTheme="majorHAnsi" w:cs="Arial"/>
          <w:sz w:val="24"/>
          <w:szCs w:val="24"/>
        </w:rPr>
        <w:t>immunizations</w:t>
      </w:r>
      <w:r w:rsidR="00365D0A" w:rsidRPr="000945A1">
        <w:rPr>
          <w:rFonts w:asciiTheme="majorHAnsi" w:hAnsiTheme="majorHAnsi" w:cs="Arial"/>
          <w:sz w:val="24"/>
          <w:szCs w:val="24"/>
        </w:rPr>
        <w:t xml:space="preserve"> in children with IBD may help</w:t>
      </w:r>
      <w:r w:rsidRPr="000945A1">
        <w:rPr>
          <w:rFonts w:asciiTheme="majorHAnsi" w:hAnsiTheme="majorHAnsi" w:cs="Arial"/>
          <w:sz w:val="24"/>
          <w:szCs w:val="24"/>
        </w:rPr>
        <w:t xml:space="preserve"> guide potential future recommendations for </w:t>
      </w:r>
      <w:r w:rsidR="00E51056" w:rsidRPr="000945A1">
        <w:rPr>
          <w:rFonts w:asciiTheme="majorHAnsi" w:hAnsiTheme="majorHAnsi" w:cs="Arial"/>
          <w:sz w:val="24"/>
          <w:szCs w:val="24"/>
        </w:rPr>
        <w:t xml:space="preserve">routine and </w:t>
      </w:r>
      <w:r w:rsidRPr="000945A1">
        <w:rPr>
          <w:rFonts w:asciiTheme="majorHAnsi" w:hAnsiTheme="majorHAnsi" w:cs="Arial"/>
          <w:sz w:val="24"/>
          <w:szCs w:val="24"/>
        </w:rPr>
        <w:t xml:space="preserve">booster vaccinations to optimize protection against </w:t>
      </w:r>
      <w:r w:rsidR="00AF559B">
        <w:rPr>
          <w:rFonts w:asciiTheme="majorHAnsi" w:hAnsiTheme="majorHAnsi" w:cs="Arial"/>
          <w:sz w:val="24"/>
          <w:szCs w:val="24"/>
        </w:rPr>
        <w:t>vaccine- preventable</w:t>
      </w:r>
      <w:r w:rsidR="00C22CDB">
        <w:rPr>
          <w:rFonts w:asciiTheme="majorHAnsi" w:hAnsiTheme="majorHAnsi" w:cs="Arial"/>
          <w:sz w:val="24"/>
          <w:szCs w:val="24"/>
        </w:rPr>
        <w:t xml:space="preserve"> illnesses</w:t>
      </w:r>
      <w:r w:rsidR="00365D0A" w:rsidRPr="000945A1">
        <w:rPr>
          <w:rFonts w:asciiTheme="majorHAnsi" w:hAnsiTheme="majorHAnsi" w:cs="Arial"/>
          <w:sz w:val="24"/>
          <w:szCs w:val="24"/>
        </w:rPr>
        <w:t xml:space="preserve">. This information is </w:t>
      </w:r>
      <w:r w:rsidRPr="000945A1">
        <w:rPr>
          <w:rFonts w:asciiTheme="majorHAnsi" w:hAnsiTheme="majorHAnsi" w:cs="Arial"/>
          <w:sz w:val="24"/>
          <w:szCs w:val="24"/>
        </w:rPr>
        <w:t>especially</w:t>
      </w:r>
      <w:r w:rsidR="00365D0A" w:rsidRPr="000945A1">
        <w:rPr>
          <w:rFonts w:asciiTheme="majorHAnsi" w:hAnsiTheme="majorHAnsi" w:cs="Arial"/>
          <w:sz w:val="24"/>
          <w:szCs w:val="24"/>
        </w:rPr>
        <w:t xml:space="preserve"> important</w:t>
      </w:r>
      <w:r w:rsidRPr="000945A1">
        <w:rPr>
          <w:rFonts w:asciiTheme="majorHAnsi" w:hAnsiTheme="majorHAnsi" w:cs="Arial"/>
          <w:sz w:val="24"/>
          <w:szCs w:val="24"/>
        </w:rPr>
        <w:t xml:space="preserve"> </w:t>
      </w:r>
      <w:r w:rsidR="00E51056" w:rsidRPr="000945A1">
        <w:rPr>
          <w:rFonts w:asciiTheme="majorHAnsi" w:hAnsiTheme="majorHAnsi" w:cs="Arial"/>
          <w:sz w:val="24"/>
          <w:szCs w:val="24"/>
        </w:rPr>
        <w:t>for</w:t>
      </w:r>
      <w:r w:rsidRPr="000945A1">
        <w:rPr>
          <w:rFonts w:asciiTheme="majorHAnsi" w:hAnsiTheme="majorHAnsi" w:cs="Arial"/>
          <w:sz w:val="24"/>
          <w:szCs w:val="24"/>
        </w:rPr>
        <w:t xml:space="preserve"> children with IBD at risk for</w:t>
      </w:r>
      <w:r w:rsidR="00E51056" w:rsidRPr="000945A1">
        <w:rPr>
          <w:rFonts w:asciiTheme="majorHAnsi" w:hAnsiTheme="majorHAnsi" w:cs="Arial"/>
          <w:sz w:val="24"/>
          <w:szCs w:val="24"/>
        </w:rPr>
        <w:t xml:space="preserve"> increased incidence and severity of</w:t>
      </w:r>
      <w:r w:rsidRPr="000945A1">
        <w:rPr>
          <w:rFonts w:asciiTheme="majorHAnsi" w:hAnsiTheme="majorHAnsi" w:cs="Arial"/>
          <w:sz w:val="24"/>
          <w:szCs w:val="24"/>
        </w:rPr>
        <w:t xml:space="preserve"> infections due to </w:t>
      </w:r>
      <w:r w:rsidR="00E51056" w:rsidRPr="000945A1">
        <w:rPr>
          <w:rFonts w:asciiTheme="majorHAnsi" w:hAnsiTheme="majorHAnsi" w:cs="Arial"/>
          <w:sz w:val="24"/>
          <w:szCs w:val="24"/>
        </w:rPr>
        <w:t>medical immunosuppression.</w:t>
      </w:r>
      <w:r w:rsidR="000945A1" w:rsidRPr="000945A1">
        <w:rPr>
          <w:rFonts w:asciiTheme="majorHAnsi" w:hAnsiTheme="majorHAnsi" w:cs="Arial"/>
          <w:sz w:val="24"/>
          <w:szCs w:val="24"/>
        </w:rPr>
        <w:t xml:space="preserve"> </w:t>
      </w:r>
      <w:r w:rsidRPr="000945A1">
        <w:rPr>
          <w:rFonts w:asciiTheme="majorHAnsi" w:hAnsiTheme="majorHAnsi" w:cs="Arial"/>
          <w:sz w:val="24"/>
          <w:szCs w:val="24"/>
        </w:rPr>
        <w:t xml:space="preserve">In addition, knowledge of the </w:t>
      </w:r>
      <w:r w:rsidR="00E51056" w:rsidRPr="000945A1">
        <w:rPr>
          <w:rFonts w:asciiTheme="majorHAnsi" w:hAnsiTheme="majorHAnsi" w:cs="Arial"/>
          <w:sz w:val="24"/>
          <w:szCs w:val="24"/>
        </w:rPr>
        <w:t>trends</w:t>
      </w:r>
      <w:r w:rsidRPr="000945A1">
        <w:rPr>
          <w:rFonts w:asciiTheme="majorHAnsi" w:hAnsiTheme="majorHAnsi" w:cs="Arial"/>
          <w:sz w:val="24"/>
          <w:szCs w:val="24"/>
        </w:rPr>
        <w:t xml:space="preserve"> for incomplete vaccinations will be </w:t>
      </w:r>
      <w:r w:rsidR="000945A1" w:rsidRPr="000945A1">
        <w:rPr>
          <w:rFonts w:asciiTheme="majorHAnsi" w:hAnsiTheme="majorHAnsi" w:cs="Arial"/>
          <w:sz w:val="24"/>
          <w:szCs w:val="24"/>
        </w:rPr>
        <w:t xml:space="preserve">a </w:t>
      </w:r>
      <w:r w:rsidRPr="000945A1">
        <w:rPr>
          <w:rFonts w:asciiTheme="majorHAnsi" w:hAnsiTheme="majorHAnsi" w:cs="Arial"/>
          <w:sz w:val="24"/>
          <w:szCs w:val="24"/>
        </w:rPr>
        <w:t xml:space="preserve">valuable </w:t>
      </w:r>
      <w:r w:rsidR="000945A1" w:rsidRPr="000945A1">
        <w:rPr>
          <w:rFonts w:asciiTheme="majorHAnsi" w:hAnsiTheme="majorHAnsi" w:cs="Arial"/>
          <w:sz w:val="24"/>
          <w:szCs w:val="24"/>
        </w:rPr>
        <w:t xml:space="preserve">asset for </w:t>
      </w:r>
      <w:r w:rsidRPr="000945A1">
        <w:rPr>
          <w:rFonts w:asciiTheme="majorHAnsi" w:hAnsiTheme="majorHAnsi" w:cs="Arial"/>
          <w:sz w:val="24"/>
          <w:szCs w:val="24"/>
        </w:rPr>
        <w:t xml:space="preserve">health care providers </w:t>
      </w:r>
      <w:r w:rsidR="000945A1" w:rsidRPr="000945A1">
        <w:rPr>
          <w:rFonts w:asciiTheme="majorHAnsi" w:hAnsiTheme="majorHAnsi" w:cs="Arial"/>
          <w:sz w:val="24"/>
          <w:szCs w:val="24"/>
        </w:rPr>
        <w:t xml:space="preserve">seeking to </w:t>
      </w:r>
      <w:r w:rsidRPr="000945A1">
        <w:rPr>
          <w:rFonts w:asciiTheme="majorHAnsi" w:hAnsiTheme="majorHAnsi" w:cs="Arial"/>
          <w:sz w:val="24"/>
          <w:szCs w:val="24"/>
        </w:rPr>
        <w:t xml:space="preserve">optimize vaccinations </w:t>
      </w:r>
      <w:r w:rsidR="000945A1" w:rsidRPr="000945A1">
        <w:rPr>
          <w:rFonts w:asciiTheme="majorHAnsi" w:hAnsiTheme="majorHAnsi" w:cs="Arial"/>
          <w:sz w:val="24"/>
          <w:szCs w:val="24"/>
        </w:rPr>
        <w:t>completeness</w:t>
      </w:r>
      <w:r w:rsidRPr="000945A1">
        <w:rPr>
          <w:rFonts w:asciiTheme="majorHAnsi" w:hAnsiTheme="majorHAnsi" w:cs="Arial"/>
          <w:sz w:val="24"/>
          <w:szCs w:val="24"/>
        </w:rPr>
        <w:t xml:space="preserve"> in children with IBD.</w:t>
      </w:r>
      <w:r w:rsidR="00AC7F63">
        <w:rPr>
          <w:rFonts w:asciiTheme="majorHAnsi" w:hAnsiTheme="majorHAnsi" w:cs="Arial"/>
          <w:sz w:val="24"/>
          <w:szCs w:val="24"/>
        </w:rPr>
        <w:t xml:space="preserve"> </w:t>
      </w:r>
      <w:r w:rsidR="000945A1" w:rsidRPr="00365D0A">
        <w:rPr>
          <w:rFonts w:asciiTheme="majorHAnsi" w:hAnsiTheme="majorHAnsi" w:cs="Arial"/>
          <w:sz w:val="24"/>
          <w:szCs w:val="24"/>
        </w:rPr>
        <w:t xml:space="preserve">The objective of this study is to evaluate the serologic protection to and completeness of routine childhood vaccinations in children with </w:t>
      </w:r>
      <w:r w:rsidR="00E0643C">
        <w:rPr>
          <w:rFonts w:asciiTheme="majorHAnsi" w:hAnsiTheme="majorHAnsi" w:cs="Arial"/>
          <w:sz w:val="24"/>
          <w:szCs w:val="24"/>
        </w:rPr>
        <w:t>inflammatory bowel disease</w:t>
      </w:r>
      <w:r w:rsidR="000945A1" w:rsidRPr="00365D0A">
        <w:rPr>
          <w:rFonts w:asciiTheme="majorHAnsi" w:hAnsiTheme="majorHAnsi" w:cs="Arial"/>
          <w:sz w:val="24"/>
          <w:szCs w:val="24"/>
        </w:rPr>
        <w:t>.</w:t>
      </w:r>
    </w:p>
    <w:p w:rsidR="00AC7F63" w:rsidRDefault="00AC7F63" w:rsidP="00AC7F63">
      <w:pPr>
        <w:autoSpaceDE w:val="0"/>
        <w:autoSpaceDN w:val="0"/>
        <w:adjustRightInd w:val="0"/>
        <w:spacing w:after="0" w:line="480" w:lineRule="auto"/>
        <w:rPr>
          <w:rFonts w:asciiTheme="minorHAnsi" w:hAnsiTheme="minorHAnsi" w:cs="Arial"/>
          <w:b/>
          <w:caps/>
          <w:spacing w:val="40"/>
          <w:sz w:val="24"/>
          <w:szCs w:val="24"/>
          <w:u w:val="single"/>
        </w:rPr>
      </w:pPr>
    </w:p>
    <w:p w:rsidR="00083109" w:rsidRPr="00597E47" w:rsidRDefault="00083109" w:rsidP="00AC7F63">
      <w:pPr>
        <w:autoSpaceDE w:val="0"/>
        <w:autoSpaceDN w:val="0"/>
        <w:adjustRightInd w:val="0"/>
        <w:spacing w:after="0" w:line="480" w:lineRule="auto"/>
        <w:rPr>
          <w:rFonts w:asciiTheme="minorHAnsi" w:hAnsiTheme="minorHAnsi" w:cs="Arial"/>
          <w:b/>
          <w:caps/>
          <w:spacing w:val="40"/>
          <w:sz w:val="24"/>
          <w:szCs w:val="24"/>
          <w:u w:val="single"/>
        </w:rPr>
      </w:pPr>
      <w:r w:rsidRPr="00597E47">
        <w:rPr>
          <w:rFonts w:asciiTheme="minorHAnsi" w:hAnsiTheme="minorHAnsi" w:cs="Arial"/>
          <w:b/>
          <w:caps/>
          <w:spacing w:val="40"/>
          <w:sz w:val="24"/>
          <w:szCs w:val="24"/>
          <w:u w:val="single"/>
        </w:rPr>
        <w:t>Methods and Materials</w:t>
      </w:r>
    </w:p>
    <w:p w:rsidR="00083109" w:rsidRPr="00703BCE" w:rsidRDefault="00083109" w:rsidP="00AC7F63">
      <w:pPr>
        <w:autoSpaceDE w:val="0"/>
        <w:autoSpaceDN w:val="0"/>
        <w:adjustRightInd w:val="0"/>
        <w:spacing w:after="0" w:line="480" w:lineRule="auto"/>
        <w:rPr>
          <w:rFonts w:asciiTheme="minorHAnsi" w:hAnsiTheme="minorHAnsi" w:cs="Arial"/>
          <w:b/>
          <w:sz w:val="24"/>
          <w:szCs w:val="24"/>
        </w:rPr>
      </w:pPr>
      <w:r w:rsidRPr="00703BCE">
        <w:rPr>
          <w:rFonts w:asciiTheme="minorHAnsi" w:hAnsiTheme="minorHAnsi" w:cs="Arial"/>
          <w:b/>
          <w:sz w:val="24"/>
          <w:szCs w:val="24"/>
        </w:rPr>
        <w:t>Participants</w:t>
      </w:r>
    </w:p>
    <w:p w:rsidR="00AA647F" w:rsidRDefault="005E5491"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lastRenderedPageBreak/>
        <w:t>Participants for this</w:t>
      </w:r>
      <w:r w:rsidR="00AA647F">
        <w:rPr>
          <w:rFonts w:asciiTheme="majorHAnsi" w:hAnsiTheme="majorHAnsi" w:cs="Arial"/>
          <w:sz w:val="24"/>
          <w:szCs w:val="24"/>
        </w:rPr>
        <w:t xml:space="preserve"> single-center cross-sectional study </w:t>
      </w:r>
      <w:r>
        <w:rPr>
          <w:rFonts w:asciiTheme="majorHAnsi" w:hAnsiTheme="majorHAnsi" w:cs="Arial"/>
          <w:sz w:val="24"/>
          <w:szCs w:val="24"/>
        </w:rPr>
        <w:t xml:space="preserve">were recruited from September 15, 2011 to August 15, 2012 through the Paediatric Gastroenterology clinic </w:t>
      </w:r>
      <w:r w:rsidR="00AA647F">
        <w:rPr>
          <w:rFonts w:asciiTheme="majorHAnsi" w:hAnsiTheme="majorHAnsi" w:cs="Arial"/>
          <w:sz w:val="24"/>
          <w:szCs w:val="24"/>
        </w:rPr>
        <w:t>at the Alberta Children’s Hospital.</w:t>
      </w:r>
      <w:r>
        <w:rPr>
          <w:rFonts w:asciiTheme="majorHAnsi" w:hAnsiTheme="majorHAnsi" w:cs="Arial"/>
          <w:sz w:val="24"/>
          <w:szCs w:val="24"/>
        </w:rPr>
        <w:t xml:space="preserve"> </w:t>
      </w:r>
      <w:r w:rsidR="008A2EB2">
        <w:rPr>
          <w:rFonts w:asciiTheme="majorHAnsi" w:hAnsiTheme="majorHAnsi" w:cs="Arial"/>
          <w:sz w:val="24"/>
          <w:szCs w:val="24"/>
        </w:rPr>
        <w:t>P</w:t>
      </w:r>
      <w:r w:rsidR="002E5468">
        <w:rPr>
          <w:rFonts w:asciiTheme="majorHAnsi" w:hAnsiTheme="majorHAnsi" w:cs="Arial"/>
          <w:sz w:val="24"/>
          <w:szCs w:val="24"/>
        </w:rPr>
        <w:t>otential subjects were identified through nonprobability convenience sampling and enrolled by mail, telephone, or in person at the time of a</w:t>
      </w:r>
      <w:r w:rsidR="003E478D">
        <w:rPr>
          <w:rFonts w:asciiTheme="majorHAnsi" w:hAnsiTheme="majorHAnsi" w:cs="Arial"/>
          <w:sz w:val="24"/>
          <w:szCs w:val="24"/>
        </w:rPr>
        <w:t xml:space="preserve"> visit. Individuals who had previously participated in the 2008 </w:t>
      </w:r>
      <w:r w:rsidR="003E478D" w:rsidRPr="002D6762">
        <w:rPr>
          <w:rFonts w:asciiTheme="majorHAnsi" w:hAnsiTheme="majorHAnsi" w:cs="Arial"/>
          <w:sz w:val="24"/>
          <w:szCs w:val="24"/>
        </w:rPr>
        <w:t>study “Immunogenicity and Safety of Influenza Vaccine in Children with Inflammatory Bowel Disease</w:t>
      </w:r>
      <w:r w:rsidR="003E478D">
        <w:rPr>
          <w:rFonts w:asciiTheme="majorHAnsi" w:hAnsiTheme="majorHAnsi" w:cs="Arial"/>
          <w:sz w:val="24"/>
          <w:szCs w:val="24"/>
        </w:rPr>
        <w:t>” (Ethics ID 21876) were also recruited.</w:t>
      </w:r>
      <w:r w:rsidR="00365D0A">
        <w:rPr>
          <w:rFonts w:asciiTheme="majorHAnsi" w:hAnsiTheme="majorHAnsi" w:cs="Arial"/>
          <w:sz w:val="24"/>
          <w:szCs w:val="24"/>
        </w:rPr>
        <w:t xml:space="preserve"> </w:t>
      </w:r>
      <w:r w:rsidR="0026529F">
        <w:rPr>
          <w:rFonts w:asciiTheme="majorHAnsi" w:hAnsiTheme="majorHAnsi" w:cs="Arial"/>
          <w:sz w:val="24"/>
          <w:szCs w:val="24"/>
        </w:rPr>
        <w:t>The inclusion criteria for the IBD cohort were a diagnosis</w:t>
      </w:r>
      <w:r w:rsidR="0026529F" w:rsidRPr="00A56B7B">
        <w:rPr>
          <w:rFonts w:asciiTheme="majorHAnsi" w:hAnsiTheme="majorHAnsi" w:cs="Arial"/>
          <w:sz w:val="24"/>
          <w:szCs w:val="24"/>
        </w:rPr>
        <w:t xml:space="preserve"> of IBD disease established by accepted criteria for endoscopy, histology, clinical </w:t>
      </w:r>
      <w:r w:rsidR="00AC7F63">
        <w:rPr>
          <w:rFonts w:asciiTheme="majorHAnsi" w:hAnsiTheme="majorHAnsi" w:cs="Arial"/>
          <w:sz w:val="24"/>
          <w:szCs w:val="24"/>
        </w:rPr>
        <w:t>course, radiology, and surgery</w:t>
      </w:r>
      <w:r w:rsidR="004260E2">
        <w:rPr>
          <w:rFonts w:asciiTheme="majorHAnsi" w:hAnsiTheme="majorHAnsi" w:cs="Arial"/>
          <w:sz w:val="24"/>
          <w:szCs w:val="24"/>
        </w:rPr>
        <w:t>(6)</w:t>
      </w:r>
      <w:r w:rsidR="00AC7F63" w:rsidRPr="004260E2">
        <w:rPr>
          <w:rFonts w:asciiTheme="majorHAnsi" w:hAnsiTheme="majorHAnsi" w:cs="Arial"/>
          <w:color w:val="FFFFFF" w:themeColor="background1"/>
          <w:sz w:val="2"/>
          <w:szCs w:val="2"/>
        </w:rPr>
        <w:t>(</w:t>
      </w:r>
      <w:r w:rsidR="0026529F" w:rsidRPr="004260E2">
        <w:rPr>
          <w:rFonts w:asciiTheme="majorHAnsi" w:hAnsiTheme="majorHAnsi" w:cs="Arial"/>
          <w:color w:val="FFFFFF" w:themeColor="background1"/>
          <w:sz w:val="2"/>
          <w:szCs w:val="2"/>
        </w:rPr>
        <w:endnoteReference w:id="7"/>
      </w:r>
      <w:r w:rsidR="00AC7F63" w:rsidRPr="004260E2">
        <w:rPr>
          <w:rFonts w:asciiTheme="majorHAnsi" w:hAnsiTheme="majorHAnsi" w:cs="Arial"/>
          <w:color w:val="FFFFFF" w:themeColor="background1"/>
          <w:sz w:val="2"/>
          <w:szCs w:val="2"/>
        </w:rPr>
        <w:t>)</w:t>
      </w:r>
      <w:r w:rsidR="0026529F" w:rsidRPr="00A56B7B">
        <w:rPr>
          <w:rFonts w:asciiTheme="majorHAnsi" w:hAnsiTheme="majorHAnsi" w:cs="Arial"/>
          <w:sz w:val="24"/>
          <w:szCs w:val="24"/>
        </w:rPr>
        <w:t xml:space="preserve"> and age between 2 to</w:t>
      </w:r>
      <w:r w:rsidR="0026529F" w:rsidRPr="00AF559B">
        <w:rPr>
          <w:rFonts w:asciiTheme="majorHAnsi" w:hAnsiTheme="majorHAnsi" w:cs="Arial"/>
          <w:sz w:val="24"/>
          <w:szCs w:val="24"/>
        </w:rPr>
        <w:t xml:space="preserve"> 18</w:t>
      </w:r>
      <w:r w:rsidR="0026529F" w:rsidRPr="00A56B7B">
        <w:rPr>
          <w:rFonts w:asciiTheme="majorHAnsi" w:hAnsiTheme="majorHAnsi" w:cs="Arial"/>
          <w:sz w:val="24"/>
          <w:szCs w:val="24"/>
        </w:rPr>
        <w:t xml:space="preserve"> years. </w:t>
      </w:r>
      <w:r w:rsidR="00AF559B">
        <w:rPr>
          <w:rFonts w:asciiTheme="majorHAnsi" w:hAnsiTheme="majorHAnsi" w:cs="Arial"/>
          <w:sz w:val="24"/>
          <w:szCs w:val="24"/>
        </w:rPr>
        <w:t>The</w:t>
      </w:r>
      <w:r w:rsidR="002E5468" w:rsidRPr="00A56B7B">
        <w:rPr>
          <w:rFonts w:asciiTheme="majorHAnsi" w:hAnsiTheme="majorHAnsi" w:cs="Arial"/>
          <w:sz w:val="24"/>
          <w:szCs w:val="24"/>
        </w:rPr>
        <w:t xml:space="preserve"> exclusion criterion was</w:t>
      </w:r>
      <w:r w:rsidR="0026529F" w:rsidRPr="00A56B7B">
        <w:rPr>
          <w:rFonts w:asciiTheme="majorHAnsi" w:hAnsiTheme="majorHAnsi" w:cs="Arial"/>
          <w:sz w:val="24"/>
          <w:szCs w:val="24"/>
        </w:rPr>
        <w:t xml:space="preserve"> parent or legal guardian unwilling or unable to provide signed informed consent</w:t>
      </w:r>
      <w:r w:rsidR="00431BC8" w:rsidRPr="00A56B7B">
        <w:rPr>
          <w:rFonts w:asciiTheme="majorHAnsi" w:hAnsiTheme="majorHAnsi" w:cs="Arial"/>
          <w:sz w:val="24"/>
          <w:szCs w:val="24"/>
        </w:rPr>
        <w:t>.</w:t>
      </w:r>
      <w:r w:rsidR="00431BC8" w:rsidRPr="00A95590">
        <w:t xml:space="preserve"> </w:t>
      </w:r>
      <w:r w:rsidR="00A95590" w:rsidRPr="00A95590">
        <w:rPr>
          <w:rFonts w:asciiTheme="majorHAnsi" w:hAnsiTheme="majorHAnsi" w:cs="Arial"/>
          <w:sz w:val="24"/>
          <w:szCs w:val="24"/>
        </w:rPr>
        <w:t>Subjects were not paid to participate.</w:t>
      </w:r>
    </w:p>
    <w:p w:rsidR="00083109" w:rsidRDefault="002E5468" w:rsidP="00DA3DED">
      <w:pPr>
        <w:autoSpaceDE w:val="0"/>
        <w:autoSpaceDN w:val="0"/>
        <w:adjustRightInd w:val="0"/>
        <w:spacing w:after="0" w:line="480" w:lineRule="auto"/>
        <w:rPr>
          <w:rFonts w:asciiTheme="minorHAnsi" w:hAnsiTheme="minorHAnsi" w:cs="Arial"/>
          <w:b/>
          <w:sz w:val="24"/>
          <w:szCs w:val="24"/>
        </w:rPr>
      </w:pPr>
      <w:r>
        <w:rPr>
          <w:rFonts w:asciiTheme="minorHAnsi" w:hAnsiTheme="minorHAnsi" w:cs="Arial"/>
          <w:b/>
          <w:sz w:val="24"/>
          <w:szCs w:val="24"/>
        </w:rPr>
        <w:t>Study Conduct</w:t>
      </w:r>
    </w:p>
    <w:p w:rsidR="00A56B7B" w:rsidRDefault="00A56B7B"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Demographic data and medical history were collected from subjects using a standardized questionnaire. This included information about IBD history (</w:t>
      </w:r>
      <w:r w:rsidR="00877D97">
        <w:rPr>
          <w:rFonts w:asciiTheme="majorHAnsi" w:hAnsiTheme="majorHAnsi" w:cs="Arial"/>
          <w:sz w:val="24"/>
          <w:szCs w:val="24"/>
        </w:rPr>
        <w:t>IBD</w:t>
      </w:r>
      <w:r>
        <w:rPr>
          <w:rFonts w:asciiTheme="majorHAnsi" w:hAnsiTheme="majorHAnsi" w:cs="Arial"/>
          <w:sz w:val="24"/>
          <w:szCs w:val="24"/>
        </w:rPr>
        <w:t xml:space="preserve"> type, date of diagnosis, </w:t>
      </w:r>
      <w:r w:rsidR="00082B42">
        <w:rPr>
          <w:rFonts w:asciiTheme="majorHAnsi" w:hAnsiTheme="majorHAnsi" w:cs="Arial"/>
          <w:sz w:val="24"/>
          <w:szCs w:val="24"/>
        </w:rPr>
        <w:t xml:space="preserve">and </w:t>
      </w:r>
      <w:r>
        <w:rPr>
          <w:rFonts w:asciiTheme="majorHAnsi" w:hAnsiTheme="majorHAnsi" w:cs="Arial"/>
          <w:sz w:val="24"/>
          <w:szCs w:val="24"/>
        </w:rPr>
        <w:t xml:space="preserve">start and end date of all IBD medications). </w:t>
      </w:r>
      <w:r w:rsidR="008C7DDB">
        <w:rPr>
          <w:rFonts w:asciiTheme="majorHAnsi" w:hAnsiTheme="majorHAnsi" w:cs="Arial"/>
          <w:sz w:val="24"/>
          <w:szCs w:val="24"/>
        </w:rPr>
        <w:t>The IBD medications considered to be i</w:t>
      </w:r>
      <w:r>
        <w:rPr>
          <w:rFonts w:asciiTheme="majorHAnsi" w:hAnsiTheme="majorHAnsi" w:cs="Arial"/>
          <w:sz w:val="24"/>
          <w:szCs w:val="24"/>
        </w:rPr>
        <w:t xml:space="preserve">mmunosuppressive included: </w:t>
      </w:r>
      <w:r w:rsidRPr="00A56B7B">
        <w:rPr>
          <w:rFonts w:asciiTheme="majorHAnsi" w:hAnsiTheme="majorHAnsi" w:cs="Arial"/>
          <w:sz w:val="24"/>
          <w:szCs w:val="24"/>
        </w:rPr>
        <w:t>systemic corticosteroids</w:t>
      </w:r>
      <w:r w:rsidR="00082B42">
        <w:rPr>
          <w:rFonts w:asciiTheme="majorHAnsi" w:hAnsiTheme="majorHAnsi" w:cs="Arial"/>
          <w:sz w:val="24"/>
          <w:szCs w:val="24"/>
        </w:rPr>
        <w:t xml:space="preserve"> (prednisone, </w:t>
      </w:r>
      <w:proofErr w:type="spellStart"/>
      <w:r w:rsidR="00082B42">
        <w:rPr>
          <w:rFonts w:asciiTheme="majorHAnsi" w:hAnsiTheme="majorHAnsi" w:cs="Arial"/>
          <w:sz w:val="24"/>
          <w:szCs w:val="24"/>
        </w:rPr>
        <w:t>methylprednisolone</w:t>
      </w:r>
      <w:proofErr w:type="spellEnd"/>
      <w:r w:rsidR="00141BAB">
        <w:rPr>
          <w:rFonts w:asciiTheme="majorHAnsi" w:hAnsiTheme="majorHAnsi" w:cs="Arial"/>
          <w:sz w:val="24"/>
          <w:szCs w:val="24"/>
        </w:rPr>
        <w:t>,</w:t>
      </w:r>
      <w:r w:rsidR="00E65849">
        <w:rPr>
          <w:rFonts w:asciiTheme="majorHAnsi" w:hAnsiTheme="majorHAnsi" w:cs="Arial"/>
          <w:sz w:val="24"/>
          <w:szCs w:val="24"/>
        </w:rPr>
        <w:t xml:space="preserve"> and</w:t>
      </w:r>
      <w:r w:rsidR="00141BAB">
        <w:rPr>
          <w:rFonts w:asciiTheme="majorHAnsi" w:hAnsiTheme="majorHAnsi" w:cs="Arial"/>
          <w:sz w:val="24"/>
          <w:szCs w:val="24"/>
        </w:rPr>
        <w:t xml:space="preserve"> </w:t>
      </w:r>
      <w:proofErr w:type="spellStart"/>
      <w:r w:rsidR="00141BAB">
        <w:rPr>
          <w:rFonts w:asciiTheme="majorHAnsi" w:hAnsiTheme="majorHAnsi" w:cs="Arial"/>
          <w:sz w:val="24"/>
          <w:szCs w:val="24"/>
        </w:rPr>
        <w:t>budesonide</w:t>
      </w:r>
      <w:proofErr w:type="spellEnd"/>
      <w:r w:rsidR="00082B42">
        <w:rPr>
          <w:rFonts w:asciiTheme="majorHAnsi" w:hAnsiTheme="majorHAnsi" w:cs="Arial"/>
          <w:sz w:val="24"/>
          <w:szCs w:val="24"/>
        </w:rPr>
        <w:t>)</w:t>
      </w:r>
      <w:r>
        <w:rPr>
          <w:rFonts w:asciiTheme="majorHAnsi" w:hAnsiTheme="majorHAnsi" w:cs="Arial"/>
          <w:sz w:val="24"/>
          <w:szCs w:val="24"/>
        </w:rPr>
        <w:t>,</w:t>
      </w:r>
      <w:r w:rsidRPr="00A56B7B">
        <w:rPr>
          <w:rFonts w:asciiTheme="majorHAnsi" w:hAnsiTheme="majorHAnsi" w:cs="Arial"/>
          <w:sz w:val="24"/>
          <w:szCs w:val="24"/>
        </w:rPr>
        <w:t xml:space="preserve"> im</w:t>
      </w:r>
      <w:r w:rsidR="00AC7F63">
        <w:rPr>
          <w:rFonts w:asciiTheme="majorHAnsi" w:hAnsiTheme="majorHAnsi" w:cs="Arial"/>
          <w:sz w:val="24"/>
          <w:szCs w:val="24"/>
        </w:rPr>
        <w:t>munomodulators (</w:t>
      </w:r>
      <w:proofErr w:type="spellStart"/>
      <w:r w:rsidR="00AC7F63">
        <w:rPr>
          <w:rFonts w:asciiTheme="majorHAnsi" w:hAnsiTheme="majorHAnsi" w:cs="Arial"/>
          <w:sz w:val="24"/>
          <w:szCs w:val="24"/>
        </w:rPr>
        <w:t>azathioprine</w:t>
      </w:r>
      <w:proofErr w:type="spellEnd"/>
      <w:r w:rsidR="00AC7F63">
        <w:rPr>
          <w:rFonts w:asciiTheme="majorHAnsi" w:hAnsiTheme="majorHAnsi" w:cs="Arial"/>
          <w:sz w:val="24"/>
          <w:szCs w:val="24"/>
        </w:rPr>
        <w:t xml:space="preserve">, </w:t>
      </w:r>
      <w:proofErr w:type="spellStart"/>
      <w:r w:rsidRPr="00A56B7B">
        <w:rPr>
          <w:rFonts w:asciiTheme="majorHAnsi" w:hAnsiTheme="majorHAnsi" w:cs="Arial"/>
          <w:sz w:val="24"/>
          <w:szCs w:val="24"/>
        </w:rPr>
        <w:t>methotrexate</w:t>
      </w:r>
      <w:proofErr w:type="spellEnd"/>
      <w:r w:rsidR="00AC7F63">
        <w:rPr>
          <w:rFonts w:asciiTheme="majorHAnsi" w:hAnsiTheme="majorHAnsi" w:cs="Arial"/>
          <w:sz w:val="24"/>
          <w:szCs w:val="24"/>
        </w:rPr>
        <w:t xml:space="preserve">, and </w:t>
      </w:r>
      <w:r w:rsidR="004C4B09" w:rsidRPr="004C4B09">
        <w:rPr>
          <w:rFonts w:asciiTheme="majorHAnsi" w:hAnsiTheme="majorHAnsi" w:cs="Arial"/>
          <w:sz w:val="24"/>
          <w:szCs w:val="24"/>
        </w:rPr>
        <w:t>thalidomide</w:t>
      </w:r>
      <w:r w:rsidR="00082B42">
        <w:rPr>
          <w:rFonts w:asciiTheme="majorHAnsi" w:hAnsiTheme="majorHAnsi" w:cs="Arial"/>
          <w:sz w:val="24"/>
          <w:szCs w:val="24"/>
        </w:rPr>
        <w:t xml:space="preserve">), </w:t>
      </w:r>
      <w:proofErr w:type="spellStart"/>
      <w:r w:rsidR="008C7DDB" w:rsidRPr="008C7DDB">
        <w:rPr>
          <w:rFonts w:asciiTheme="majorHAnsi" w:hAnsiTheme="majorHAnsi" w:cs="Arial"/>
          <w:sz w:val="24"/>
          <w:szCs w:val="24"/>
        </w:rPr>
        <w:t>calcineurin</w:t>
      </w:r>
      <w:proofErr w:type="spellEnd"/>
      <w:r w:rsidR="008C7DDB" w:rsidRPr="008C7DDB">
        <w:rPr>
          <w:rFonts w:asciiTheme="majorHAnsi" w:hAnsiTheme="majorHAnsi" w:cs="Arial"/>
          <w:sz w:val="24"/>
          <w:szCs w:val="24"/>
        </w:rPr>
        <w:t xml:space="preserve"> inhibitors (</w:t>
      </w:r>
      <w:proofErr w:type="spellStart"/>
      <w:r w:rsidR="00E65849">
        <w:rPr>
          <w:rFonts w:asciiTheme="majorHAnsi" w:hAnsiTheme="majorHAnsi" w:cs="Arial"/>
          <w:sz w:val="24"/>
          <w:szCs w:val="24"/>
        </w:rPr>
        <w:t>tacrolimus</w:t>
      </w:r>
      <w:proofErr w:type="spellEnd"/>
      <w:r w:rsidR="00E65849">
        <w:rPr>
          <w:rFonts w:asciiTheme="majorHAnsi" w:hAnsiTheme="majorHAnsi" w:cs="Arial"/>
          <w:sz w:val="24"/>
          <w:szCs w:val="24"/>
        </w:rPr>
        <w:t xml:space="preserve"> and </w:t>
      </w:r>
      <w:proofErr w:type="spellStart"/>
      <w:r w:rsidR="008C7DDB">
        <w:rPr>
          <w:rFonts w:asciiTheme="majorHAnsi" w:hAnsiTheme="majorHAnsi" w:cs="Arial"/>
          <w:sz w:val="24"/>
          <w:szCs w:val="24"/>
        </w:rPr>
        <w:t>cyclosporin</w:t>
      </w:r>
      <w:proofErr w:type="spellEnd"/>
      <w:r w:rsidR="008C7DDB">
        <w:rPr>
          <w:rFonts w:asciiTheme="majorHAnsi" w:hAnsiTheme="majorHAnsi" w:cs="Arial"/>
          <w:sz w:val="24"/>
          <w:szCs w:val="24"/>
        </w:rPr>
        <w:t xml:space="preserve">), </w:t>
      </w:r>
      <w:r w:rsidR="00082B42">
        <w:rPr>
          <w:rFonts w:asciiTheme="majorHAnsi" w:hAnsiTheme="majorHAnsi" w:cs="Arial"/>
          <w:sz w:val="24"/>
          <w:szCs w:val="24"/>
        </w:rPr>
        <w:t>and</w:t>
      </w:r>
      <w:r w:rsidR="00082B42" w:rsidRPr="00A56B7B">
        <w:rPr>
          <w:rFonts w:asciiTheme="majorHAnsi" w:hAnsiTheme="majorHAnsi" w:cs="Arial"/>
          <w:sz w:val="24"/>
          <w:szCs w:val="24"/>
        </w:rPr>
        <w:t xml:space="preserve"> anti</w:t>
      </w:r>
      <w:r w:rsidRPr="00A56B7B">
        <w:rPr>
          <w:rFonts w:asciiTheme="majorHAnsi" w:hAnsiTheme="majorHAnsi" w:cs="Arial"/>
          <w:sz w:val="24"/>
          <w:szCs w:val="24"/>
        </w:rPr>
        <w:t>-</w:t>
      </w:r>
      <w:proofErr w:type="spellStart"/>
      <w:r w:rsidRPr="00A56B7B">
        <w:rPr>
          <w:rFonts w:asciiTheme="majorHAnsi" w:hAnsiTheme="majorHAnsi" w:cs="Arial"/>
          <w:sz w:val="24"/>
          <w:szCs w:val="24"/>
        </w:rPr>
        <w:t>TNFα</w:t>
      </w:r>
      <w:proofErr w:type="spellEnd"/>
      <w:r w:rsidRPr="00A56B7B">
        <w:rPr>
          <w:rFonts w:asciiTheme="majorHAnsi" w:hAnsiTheme="majorHAnsi" w:cs="Arial"/>
          <w:sz w:val="24"/>
          <w:szCs w:val="24"/>
        </w:rPr>
        <w:t xml:space="preserve"> bio</w:t>
      </w:r>
      <w:r w:rsidR="00141BAB">
        <w:rPr>
          <w:rFonts w:asciiTheme="majorHAnsi" w:hAnsiTheme="majorHAnsi" w:cs="Arial"/>
          <w:sz w:val="24"/>
          <w:szCs w:val="24"/>
        </w:rPr>
        <w:t>logics (infliximab and</w:t>
      </w:r>
      <w:r w:rsidR="00082B42">
        <w:rPr>
          <w:rFonts w:asciiTheme="majorHAnsi" w:hAnsiTheme="majorHAnsi" w:cs="Arial"/>
          <w:sz w:val="24"/>
          <w:szCs w:val="24"/>
        </w:rPr>
        <w:t xml:space="preserve"> adalimumab).</w:t>
      </w:r>
    </w:p>
    <w:p w:rsidR="00082B42" w:rsidRDefault="00082B42"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 xml:space="preserve">Data was also collected on </w:t>
      </w:r>
      <w:r w:rsidR="008C7DDB">
        <w:rPr>
          <w:rFonts w:asciiTheme="majorHAnsi" w:hAnsiTheme="majorHAnsi" w:cs="Arial"/>
          <w:sz w:val="24"/>
          <w:szCs w:val="24"/>
        </w:rPr>
        <w:t>infectious</w:t>
      </w:r>
      <w:r w:rsidR="00A95590">
        <w:rPr>
          <w:rFonts w:asciiTheme="majorHAnsi" w:hAnsiTheme="majorHAnsi" w:cs="Arial"/>
          <w:sz w:val="24"/>
          <w:szCs w:val="24"/>
        </w:rPr>
        <w:t xml:space="preserve"> history </w:t>
      </w:r>
      <w:r w:rsidR="008C7DDB">
        <w:rPr>
          <w:rFonts w:asciiTheme="majorHAnsi" w:hAnsiTheme="majorHAnsi" w:cs="Arial"/>
          <w:sz w:val="24"/>
          <w:szCs w:val="24"/>
        </w:rPr>
        <w:t>for</w:t>
      </w:r>
      <w:r w:rsidR="00A95590">
        <w:rPr>
          <w:rFonts w:asciiTheme="majorHAnsi" w:hAnsiTheme="majorHAnsi" w:cs="Arial"/>
          <w:sz w:val="24"/>
          <w:szCs w:val="24"/>
        </w:rPr>
        <w:t xml:space="preserve"> </w:t>
      </w:r>
      <w:r>
        <w:rPr>
          <w:rFonts w:asciiTheme="majorHAnsi" w:hAnsiTheme="majorHAnsi" w:cs="Arial"/>
          <w:sz w:val="24"/>
          <w:szCs w:val="24"/>
        </w:rPr>
        <w:t>varicella (chickenpox) infection</w:t>
      </w:r>
      <w:r w:rsidR="0094758B">
        <w:rPr>
          <w:rFonts w:asciiTheme="majorHAnsi" w:hAnsiTheme="majorHAnsi" w:cs="Arial"/>
          <w:sz w:val="24"/>
          <w:szCs w:val="24"/>
        </w:rPr>
        <w:t xml:space="preserve"> </w:t>
      </w:r>
      <w:r>
        <w:rPr>
          <w:rFonts w:asciiTheme="majorHAnsi" w:hAnsiTheme="majorHAnsi" w:cs="Arial"/>
          <w:sz w:val="24"/>
          <w:szCs w:val="24"/>
        </w:rPr>
        <w:t>(date of infection and parental recall versus physician diagnosis versus laboratory confirmation) and risk fa</w:t>
      </w:r>
      <w:r w:rsidR="008C7DDB">
        <w:rPr>
          <w:rFonts w:asciiTheme="majorHAnsi" w:hAnsiTheme="majorHAnsi" w:cs="Arial"/>
          <w:sz w:val="24"/>
          <w:szCs w:val="24"/>
        </w:rPr>
        <w:t>ctors for hepatitis B infection</w:t>
      </w:r>
      <w:r>
        <w:rPr>
          <w:rFonts w:asciiTheme="majorHAnsi" w:hAnsiTheme="majorHAnsi" w:cs="Arial"/>
          <w:sz w:val="24"/>
          <w:szCs w:val="24"/>
        </w:rPr>
        <w:t xml:space="preserve"> (country of birth, ethnicity, history of jaundice or live</w:t>
      </w:r>
      <w:r w:rsidR="002D6762">
        <w:rPr>
          <w:rFonts w:asciiTheme="majorHAnsi" w:hAnsiTheme="majorHAnsi" w:cs="Arial"/>
          <w:sz w:val="24"/>
          <w:szCs w:val="24"/>
        </w:rPr>
        <w:t>r</w:t>
      </w:r>
      <w:r>
        <w:rPr>
          <w:rFonts w:asciiTheme="majorHAnsi" w:hAnsiTheme="majorHAnsi" w:cs="Arial"/>
          <w:sz w:val="24"/>
          <w:szCs w:val="24"/>
        </w:rPr>
        <w:t xml:space="preserve"> disease, </w:t>
      </w:r>
      <w:r w:rsidR="0094758B">
        <w:rPr>
          <w:rFonts w:asciiTheme="majorHAnsi" w:hAnsiTheme="majorHAnsi" w:cs="Arial"/>
          <w:sz w:val="24"/>
          <w:szCs w:val="24"/>
        </w:rPr>
        <w:t xml:space="preserve">international </w:t>
      </w:r>
      <w:r>
        <w:rPr>
          <w:rFonts w:asciiTheme="majorHAnsi" w:hAnsiTheme="majorHAnsi" w:cs="Arial"/>
          <w:sz w:val="24"/>
          <w:szCs w:val="24"/>
        </w:rPr>
        <w:t xml:space="preserve">travel, household </w:t>
      </w:r>
      <w:r w:rsidR="0094758B">
        <w:rPr>
          <w:rFonts w:asciiTheme="majorHAnsi" w:hAnsiTheme="majorHAnsi" w:cs="Arial"/>
          <w:sz w:val="24"/>
          <w:szCs w:val="24"/>
        </w:rPr>
        <w:t>exposure</w:t>
      </w:r>
      <w:r>
        <w:rPr>
          <w:rFonts w:asciiTheme="majorHAnsi" w:hAnsiTheme="majorHAnsi" w:cs="Arial"/>
          <w:sz w:val="24"/>
          <w:szCs w:val="24"/>
        </w:rPr>
        <w:t xml:space="preserve"> </w:t>
      </w:r>
      <w:r w:rsidR="0094758B">
        <w:rPr>
          <w:rFonts w:asciiTheme="majorHAnsi" w:hAnsiTheme="majorHAnsi" w:cs="Arial"/>
          <w:sz w:val="24"/>
          <w:szCs w:val="24"/>
        </w:rPr>
        <w:t>to</w:t>
      </w:r>
      <w:r>
        <w:rPr>
          <w:rFonts w:asciiTheme="majorHAnsi" w:hAnsiTheme="majorHAnsi" w:cs="Arial"/>
          <w:sz w:val="24"/>
          <w:szCs w:val="24"/>
        </w:rPr>
        <w:t xml:space="preserve"> </w:t>
      </w:r>
      <w:r w:rsidR="0094758B">
        <w:rPr>
          <w:rFonts w:asciiTheme="majorHAnsi" w:hAnsiTheme="majorHAnsi" w:cs="Arial"/>
          <w:sz w:val="24"/>
          <w:szCs w:val="24"/>
        </w:rPr>
        <w:t xml:space="preserve">individuals with </w:t>
      </w:r>
      <w:r>
        <w:rPr>
          <w:rFonts w:asciiTheme="majorHAnsi" w:hAnsiTheme="majorHAnsi" w:cs="Arial"/>
          <w:sz w:val="24"/>
          <w:szCs w:val="24"/>
        </w:rPr>
        <w:lastRenderedPageBreak/>
        <w:t>hepatitis B, blood transfusions, percutaneous risk factors [</w:t>
      </w:r>
      <w:r w:rsidRPr="00A56B7B">
        <w:rPr>
          <w:rFonts w:asciiTheme="majorHAnsi" w:hAnsiTheme="majorHAnsi" w:cs="Arial"/>
          <w:sz w:val="24"/>
          <w:szCs w:val="24"/>
        </w:rPr>
        <w:t>intravenous drug use,</w:t>
      </w:r>
      <w:r>
        <w:rPr>
          <w:rFonts w:asciiTheme="majorHAnsi" w:hAnsiTheme="majorHAnsi" w:cs="Arial"/>
          <w:sz w:val="24"/>
          <w:szCs w:val="24"/>
        </w:rPr>
        <w:t xml:space="preserve"> tattoos and body piercings], and nosocomi</w:t>
      </w:r>
      <w:r w:rsidR="002D6762">
        <w:rPr>
          <w:rFonts w:asciiTheme="majorHAnsi" w:hAnsiTheme="majorHAnsi" w:cs="Arial"/>
          <w:sz w:val="24"/>
          <w:szCs w:val="24"/>
        </w:rPr>
        <w:t>a</w:t>
      </w:r>
      <w:r>
        <w:rPr>
          <w:rFonts w:asciiTheme="majorHAnsi" w:hAnsiTheme="majorHAnsi" w:cs="Arial"/>
          <w:sz w:val="24"/>
          <w:szCs w:val="24"/>
        </w:rPr>
        <w:t>l risk factors [needle stick injury]).</w:t>
      </w:r>
    </w:p>
    <w:p w:rsidR="002D6762" w:rsidRPr="00410CCB" w:rsidRDefault="002D6762"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 xml:space="preserve">A copy of immunization records was obtained from either the Public Health Clinic or from personal immunization cards. </w:t>
      </w:r>
      <w:r w:rsidR="00B75DB2" w:rsidRPr="0048176E">
        <w:rPr>
          <w:rFonts w:asciiTheme="majorHAnsi" w:hAnsiTheme="majorHAnsi" w:cs="Arial"/>
          <w:sz w:val="24"/>
          <w:szCs w:val="24"/>
        </w:rPr>
        <w:t xml:space="preserve">A vaccine dose was considered valid </w:t>
      </w:r>
      <w:r w:rsidR="00141BAB">
        <w:rPr>
          <w:rFonts w:asciiTheme="majorHAnsi" w:hAnsiTheme="majorHAnsi" w:cs="Arial"/>
          <w:sz w:val="24"/>
          <w:szCs w:val="24"/>
        </w:rPr>
        <w:t>if the written record</w:t>
      </w:r>
      <w:r w:rsidR="00B75DB2" w:rsidRPr="0048176E">
        <w:rPr>
          <w:rFonts w:asciiTheme="majorHAnsi" w:hAnsiTheme="majorHAnsi" w:cs="Arial"/>
          <w:sz w:val="24"/>
          <w:szCs w:val="24"/>
        </w:rPr>
        <w:t xml:space="preserve"> </w:t>
      </w:r>
      <w:r w:rsidR="00141BAB">
        <w:rPr>
          <w:rFonts w:asciiTheme="majorHAnsi" w:hAnsiTheme="majorHAnsi" w:cs="Arial"/>
          <w:sz w:val="24"/>
          <w:szCs w:val="24"/>
        </w:rPr>
        <w:t>documented</w:t>
      </w:r>
      <w:r w:rsidR="00B75DB2" w:rsidRPr="0048176E">
        <w:rPr>
          <w:rFonts w:asciiTheme="majorHAnsi" w:hAnsiTheme="majorHAnsi" w:cs="Arial"/>
          <w:sz w:val="24"/>
          <w:szCs w:val="24"/>
        </w:rPr>
        <w:t xml:space="preserve"> the type of vaccine and date of administration.</w:t>
      </w:r>
      <w:r w:rsidR="00141BAB">
        <w:rPr>
          <w:rFonts w:asciiTheme="majorHAnsi" w:hAnsiTheme="majorHAnsi" w:cs="Arial"/>
          <w:sz w:val="24"/>
          <w:szCs w:val="24"/>
        </w:rPr>
        <w:t xml:space="preserve"> Invalid records included parental recall without documentation of the type and date of vaccine administration</w:t>
      </w:r>
      <w:r w:rsidR="00B75DB2">
        <w:rPr>
          <w:rFonts w:asciiTheme="majorHAnsi" w:hAnsiTheme="majorHAnsi" w:cs="Arial"/>
          <w:sz w:val="24"/>
          <w:szCs w:val="24"/>
        </w:rPr>
        <w:t xml:space="preserve"> </w:t>
      </w:r>
      <w:r>
        <w:rPr>
          <w:rFonts w:asciiTheme="majorHAnsi" w:hAnsiTheme="majorHAnsi" w:cs="Arial"/>
          <w:sz w:val="24"/>
          <w:szCs w:val="24"/>
        </w:rPr>
        <w:t xml:space="preserve">Written informed consent was obtained from each subject and permission was obtained to access immunization records and medical record </w:t>
      </w:r>
      <w:r w:rsidRPr="00410CCB">
        <w:rPr>
          <w:rFonts w:asciiTheme="majorHAnsi" w:hAnsiTheme="majorHAnsi" w:cs="Arial"/>
          <w:sz w:val="24"/>
          <w:szCs w:val="24"/>
        </w:rPr>
        <w:t>shadow charts from the Paediatric Gastroenterology clinic to confirm collected data.</w:t>
      </w:r>
      <w:r w:rsidR="00410CCB">
        <w:rPr>
          <w:rFonts w:asciiTheme="majorHAnsi" w:hAnsiTheme="majorHAnsi" w:cs="Arial"/>
          <w:sz w:val="24"/>
          <w:szCs w:val="24"/>
        </w:rPr>
        <w:t xml:space="preserve"> </w:t>
      </w:r>
    </w:p>
    <w:p w:rsidR="001C4CAD" w:rsidRDefault="002D6762" w:rsidP="00DA3DED">
      <w:pPr>
        <w:autoSpaceDE w:val="0"/>
        <w:autoSpaceDN w:val="0"/>
        <w:adjustRightInd w:val="0"/>
        <w:spacing w:after="0" w:line="480" w:lineRule="auto"/>
        <w:ind w:firstLine="720"/>
        <w:jc w:val="both"/>
        <w:rPr>
          <w:rFonts w:asciiTheme="majorHAnsi" w:hAnsiTheme="majorHAnsi" w:cs="Arial"/>
          <w:sz w:val="24"/>
          <w:szCs w:val="24"/>
        </w:rPr>
      </w:pPr>
      <w:r w:rsidRPr="00410CCB">
        <w:rPr>
          <w:rFonts w:asciiTheme="majorHAnsi" w:hAnsiTheme="majorHAnsi" w:cs="Arial"/>
          <w:sz w:val="24"/>
          <w:szCs w:val="24"/>
        </w:rPr>
        <w:t>Serum</w:t>
      </w:r>
      <w:r>
        <w:rPr>
          <w:rFonts w:asciiTheme="majorHAnsi" w:hAnsiTheme="majorHAnsi" w:cs="Arial"/>
          <w:sz w:val="24"/>
          <w:szCs w:val="24"/>
        </w:rPr>
        <w:t xml:space="preserve"> was collected </w:t>
      </w:r>
      <w:r w:rsidRPr="002D6762">
        <w:rPr>
          <w:rFonts w:asciiTheme="majorHAnsi" w:hAnsiTheme="majorHAnsi" w:cs="Arial"/>
          <w:sz w:val="24"/>
          <w:szCs w:val="24"/>
        </w:rPr>
        <w:t xml:space="preserve">(3-5 mL in a gold-top Vacutainer tube) from each subject to assess for serologic protection.  </w:t>
      </w:r>
      <w:r>
        <w:rPr>
          <w:rFonts w:asciiTheme="majorHAnsi" w:hAnsiTheme="majorHAnsi" w:cs="Arial"/>
          <w:sz w:val="24"/>
          <w:szCs w:val="24"/>
        </w:rPr>
        <w:t xml:space="preserve">This was </w:t>
      </w:r>
      <w:r w:rsidR="00AC7F63">
        <w:rPr>
          <w:rFonts w:asciiTheme="majorHAnsi" w:hAnsiTheme="majorHAnsi" w:cs="Arial"/>
          <w:sz w:val="24"/>
          <w:szCs w:val="24"/>
        </w:rPr>
        <w:t xml:space="preserve">frequently </w:t>
      </w:r>
      <w:r>
        <w:rPr>
          <w:rFonts w:asciiTheme="majorHAnsi" w:hAnsiTheme="majorHAnsi" w:cs="Arial"/>
          <w:sz w:val="24"/>
          <w:szCs w:val="24"/>
        </w:rPr>
        <w:t xml:space="preserve">done in conjunction with other routine IBD investigations or </w:t>
      </w:r>
      <w:r w:rsidRPr="002D6762">
        <w:rPr>
          <w:rFonts w:asciiTheme="majorHAnsi" w:hAnsiTheme="majorHAnsi" w:cs="Arial"/>
          <w:sz w:val="24"/>
          <w:szCs w:val="24"/>
        </w:rPr>
        <w:t xml:space="preserve">at the start of an intravenous line. </w:t>
      </w:r>
      <w:r w:rsidR="0094758B">
        <w:rPr>
          <w:rFonts w:asciiTheme="majorHAnsi" w:hAnsiTheme="majorHAnsi" w:cs="Arial"/>
          <w:sz w:val="24"/>
          <w:szCs w:val="24"/>
        </w:rPr>
        <w:t>In addition to collecting new serum from patients, c</w:t>
      </w:r>
      <w:r w:rsidR="001C4CAD">
        <w:rPr>
          <w:rFonts w:asciiTheme="majorHAnsi" w:hAnsiTheme="majorHAnsi" w:cs="Arial"/>
          <w:sz w:val="24"/>
          <w:szCs w:val="24"/>
        </w:rPr>
        <w:t>onsent was obtained from subjects who had previously participated in the</w:t>
      </w:r>
      <w:r w:rsidR="001C4CAD" w:rsidRPr="002D6762">
        <w:rPr>
          <w:rFonts w:asciiTheme="majorHAnsi" w:hAnsiTheme="majorHAnsi" w:cs="Arial"/>
          <w:sz w:val="24"/>
          <w:szCs w:val="24"/>
        </w:rPr>
        <w:t xml:space="preserve"> </w:t>
      </w:r>
      <w:r w:rsidR="001C4CAD">
        <w:rPr>
          <w:rFonts w:asciiTheme="majorHAnsi" w:hAnsiTheme="majorHAnsi" w:cs="Arial"/>
          <w:sz w:val="24"/>
          <w:szCs w:val="24"/>
        </w:rPr>
        <w:t xml:space="preserve">2008 </w:t>
      </w:r>
      <w:r w:rsidR="001C4CAD" w:rsidRPr="002D6762">
        <w:rPr>
          <w:rFonts w:asciiTheme="majorHAnsi" w:hAnsiTheme="majorHAnsi" w:cs="Arial"/>
          <w:sz w:val="24"/>
          <w:szCs w:val="24"/>
        </w:rPr>
        <w:t>study “Immunogenicity and Safety of Influenza Vaccine in Children with Inflammatory Bowel Disease</w:t>
      </w:r>
      <w:r w:rsidR="001C4CAD">
        <w:rPr>
          <w:rFonts w:asciiTheme="majorHAnsi" w:hAnsiTheme="majorHAnsi" w:cs="Arial"/>
          <w:sz w:val="24"/>
          <w:szCs w:val="24"/>
        </w:rPr>
        <w:t>” (Ethics ID 21876) t</w:t>
      </w:r>
      <w:r w:rsidR="009E3BCA">
        <w:rPr>
          <w:rFonts w:asciiTheme="majorHAnsi" w:hAnsiTheme="majorHAnsi" w:cs="Arial"/>
          <w:sz w:val="24"/>
          <w:szCs w:val="24"/>
        </w:rPr>
        <w:t>o use the residual serum volume</w:t>
      </w:r>
      <w:r w:rsidR="0094758B">
        <w:rPr>
          <w:rFonts w:asciiTheme="majorHAnsi" w:hAnsiTheme="majorHAnsi" w:cs="Arial"/>
          <w:sz w:val="24"/>
          <w:szCs w:val="24"/>
        </w:rPr>
        <w:t xml:space="preserve"> for testing</w:t>
      </w:r>
      <w:r w:rsidR="009E3BCA">
        <w:rPr>
          <w:rFonts w:asciiTheme="majorHAnsi" w:hAnsiTheme="majorHAnsi" w:cs="Arial"/>
          <w:sz w:val="24"/>
          <w:szCs w:val="24"/>
        </w:rPr>
        <w:t>.</w:t>
      </w:r>
    </w:p>
    <w:p w:rsidR="00141BAB" w:rsidRDefault="00141BAB" w:rsidP="00DA3DED">
      <w:pPr>
        <w:autoSpaceDE w:val="0"/>
        <w:autoSpaceDN w:val="0"/>
        <w:adjustRightInd w:val="0"/>
        <w:spacing w:after="0" w:line="480" w:lineRule="auto"/>
        <w:rPr>
          <w:rFonts w:asciiTheme="minorHAnsi" w:hAnsiTheme="minorHAnsi" w:cs="Arial"/>
          <w:b/>
          <w:sz w:val="24"/>
          <w:szCs w:val="24"/>
        </w:rPr>
      </w:pPr>
      <w:r>
        <w:rPr>
          <w:rFonts w:asciiTheme="minorHAnsi" w:hAnsiTheme="minorHAnsi" w:cs="Arial"/>
          <w:b/>
          <w:sz w:val="24"/>
          <w:szCs w:val="24"/>
        </w:rPr>
        <w:t>Immunization Completeness</w:t>
      </w:r>
    </w:p>
    <w:p w:rsidR="00141BAB" w:rsidRDefault="00141BAB" w:rsidP="00431BC8">
      <w:pPr>
        <w:autoSpaceDE w:val="0"/>
        <w:autoSpaceDN w:val="0"/>
        <w:adjustRightInd w:val="0"/>
        <w:spacing w:after="0" w:line="480" w:lineRule="auto"/>
        <w:ind w:firstLine="720"/>
        <w:jc w:val="both"/>
      </w:pPr>
      <w:r>
        <w:rPr>
          <w:rFonts w:asciiTheme="majorHAnsi" w:hAnsiTheme="majorHAnsi" w:cs="Arial"/>
          <w:sz w:val="24"/>
          <w:szCs w:val="24"/>
        </w:rPr>
        <w:t xml:space="preserve">Patient immunization records were compared with the routine immunization schedule provided by the </w:t>
      </w:r>
      <w:r w:rsidRPr="00410CCB">
        <w:rPr>
          <w:rFonts w:asciiTheme="majorHAnsi" w:hAnsiTheme="majorHAnsi" w:cs="Arial"/>
          <w:sz w:val="24"/>
          <w:szCs w:val="24"/>
        </w:rPr>
        <w:t>Government of Alberta Health and Wellness</w:t>
      </w:r>
      <w:r>
        <w:rPr>
          <w:rFonts w:asciiTheme="majorHAnsi" w:hAnsiTheme="majorHAnsi" w:cs="Arial"/>
          <w:sz w:val="24"/>
          <w:szCs w:val="24"/>
        </w:rPr>
        <w:t xml:space="preserve"> to determine completeness of immunizations.</w:t>
      </w:r>
      <w:r w:rsidR="00E95C6C">
        <w:rPr>
          <w:rFonts w:asciiTheme="majorHAnsi" w:hAnsiTheme="majorHAnsi" w:cs="Arial"/>
          <w:sz w:val="24"/>
          <w:szCs w:val="24"/>
        </w:rPr>
        <w:t xml:space="preserve"> Criterion for up to date immunizations </w:t>
      </w:r>
      <w:r w:rsidR="00EB4F04">
        <w:rPr>
          <w:rFonts w:asciiTheme="majorHAnsi" w:hAnsiTheme="majorHAnsi" w:cs="Arial"/>
          <w:sz w:val="24"/>
          <w:szCs w:val="24"/>
        </w:rPr>
        <w:t>were</w:t>
      </w:r>
      <w:r w:rsidR="00E95C6C">
        <w:rPr>
          <w:rFonts w:asciiTheme="majorHAnsi" w:hAnsiTheme="majorHAnsi" w:cs="Arial"/>
          <w:sz w:val="24"/>
          <w:szCs w:val="24"/>
        </w:rPr>
        <w:t>:</w:t>
      </w:r>
      <w:r w:rsidR="004260E2">
        <w:rPr>
          <w:rFonts w:asciiTheme="majorHAnsi" w:hAnsiTheme="majorHAnsi" w:cs="Arial" w:hint="eastAsia"/>
          <w:sz w:val="24"/>
          <w:szCs w:val="24"/>
          <w:lang w:eastAsia="zh-TW"/>
        </w:rPr>
        <w:t xml:space="preserve"> </w:t>
      </w:r>
      <w:r w:rsidR="006F2DA0" w:rsidRPr="00E65849">
        <w:rPr>
          <w:rStyle w:val="EndnoteReference"/>
          <w:rFonts w:asciiTheme="majorHAnsi" w:hAnsiTheme="majorHAnsi"/>
        </w:rPr>
        <w:t>(</w:t>
      </w:r>
      <w:r w:rsidR="00EA45BC">
        <w:rPr>
          <w:rFonts w:asciiTheme="majorHAnsi" w:hAnsiTheme="majorHAnsi"/>
        </w:rPr>
        <w:t>4,</w:t>
      </w:r>
      <w:r w:rsidR="00C22CDB" w:rsidRPr="00E65849">
        <w:rPr>
          <w:rStyle w:val="EndnoteReference"/>
          <w:rFonts w:asciiTheme="majorHAnsi" w:hAnsiTheme="majorHAnsi"/>
        </w:rPr>
        <w:t>5</w:t>
      </w:r>
      <w:r w:rsidR="006F2DA0" w:rsidRPr="00E65849">
        <w:rPr>
          <w:rStyle w:val="EndnoteReference"/>
          <w:rFonts w:asciiTheme="majorHAnsi" w:hAnsiTheme="majorHAnsi"/>
        </w:rPr>
        <w:t>)</w:t>
      </w:r>
    </w:p>
    <w:p w:rsidR="000B45BE" w:rsidRDefault="000B45BE" w:rsidP="000B45BE">
      <w:pPr>
        <w:autoSpaceDE w:val="0"/>
        <w:autoSpaceDN w:val="0"/>
        <w:adjustRightInd w:val="0"/>
        <w:spacing w:after="0" w:line="360" w:lineRule="auto"/>
        <w:ind w:firstLine="720"/>
        <w:jc w:val="both"/>
        <w:rPr>
          <w:rFonts w:asciiTheme="majorHAnsi" w:hAnsiTheme="majorHAnsi" w:cs="Arial"/>
          <w:sz w:val="24"/>
          <w:szCs w:val="24"/>
        </w:rPr>
      </w:pPr>
    </w:p>
    <w:p w:rsidR="00E95C6C" w:rsidRPr="00AC7F63" w:rsidRDefault="00E95C6C"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t>Measles, mumps and rubella vaccine (MMR)</w:t>
      </w:r>
      <w:r w:rsidR="000D739F" w:rsidRPr="00AC7F63">
        <w:rPr>
          <w:rFonts w:asciiTheme="majorHAnsi" w:eastAsia="Times New Roman" w:hAnsiTheme="majorHAnsi"/>
          <w:sz w:val="20"/>
          <w:szCs w:val="24"/>
        </w:rPr>
        <w:t>- 2 doses</w:t>
      </w:r>
      <w:r w:rsidR="00340D70" w:rsidRPr="00AC7F63">
        <w:rPr>
          <w:rFonts w:asciiTheme="majorHAnsi" w:eastAsia="Times New Roman" w:hAnsiTheme="majorHAnsi"/>
          <w:sz w:val="20"/>
          <w:szCs w:val="24"/>
        </w:rPr>
        <w:t xml:space="preserve"> (at 12 months and 4-6 years)</w:t>
      </w:r>
    </w:p>
    <w:p w:rsidR="00E95C6C" w:rsidRPr="00AC7F63" w:rsidRDefault="00E95C6C"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lastRenderedPageBreak/>
        <w:t>Diphtheria, tetanus, acellular pertussis, inactivated polio virus vaccine and</w:t>
      </w:r>
      <w:r w:rsidR="000D739F" w:rsidRPr="00AC7F63">
        <w:rPr>
          <w:rFonts w:asciiTheme="majorHAnsi" w:eastAsia="Times New Roman" w:hAnsiTheme="majorHAnsi"/>
          <w:sz w:val="20"/>
          <w:szCs w:val="24"/>
        </w:rPr>
        <w:t>-</w:t>
      </w:r>
      <w:r w:rsidRPr="00AC7F63">
        <w:rPr>
          <w:rFonts w:asciiTheme="majorHAnsi" w:eastAsia="Times New Roman" w:hAnsiTheme="majorHAnsi"/>
          <w:i/>
          <w:sz w:val="20"/>
          <w:szCs w:val="24"/>
        </w:rPr>
        <w:t>Haemophilus influenzae</w:t>
      </w:r>
      <w:r w:rsidRPr="00AC7F63">
        <w:rPr>
          <w:rFonts w:asciiTheme="majorHAnsi" w:eastAsia="Times New Roman" w:hAnsiTheme="majorHAnsi"/>
          <w:sz w:val="20"/>
          <w:szCs w:val="24"/>
        </w:rPr>
        <w:t xml:space="preserve"> type b conjugate vaccine(DTaP-IPV-Hib)</w:t>
      </w:r>
      <w:r w:rsidR="000D60E8" w:rsidRPr="00AC7F63">
        <w:rPr>
          <w:rFonts w:asciiTheme="majorHAnsi" w:eastAsia="Times New Roman" w:hAnsiTheme="majorHAnsi"/>
          <w:sz w:val="20"/>
          <w:szCs w:val="24"/>
        </w:rPr>
        <w:t xml:space="preserve">- </w:t>
      </w:r>
      <w:r w:rsidR="00CE74B1" w:rsidRPr="00AC7F63">
        <w:rPr>
          <w:rFonts w:asciiTheme="majorHAnsi" w:eastAsia="Times New Roman" w:hAnsiTheme="majorHAnsi"/>
          <w:sz w:val="20"/>
          <w:szCs w:val="24"/>
        </w:rPr>
        <w:t xml:space="preserve">5 doses </w:t>
      </w:r>
      <w:r w:rsidR="000D739F" w:rsidRPr="00AC7F63">
        <w:rPr>
          <w:rFonts w:asciiTheme="majorHAnsi" w:eastAsia="Times New Roman" w:hAnsiTheme="majorHAnsi"/>
          <w:sz w:val="20"/>
          <w:szCs w:val="24"/>
        </w:rPr>
        <w:t>(</w:t>
      </w:r>
      <w:r w:rsidR="00CE74B1" w:rsidRPr="00AC7F63">
        <w:rPr>
          <w:rFonts w:asciiTheme="majorHAnsi" w:eastAsia="Times New Roman" w:hAnsiTheme="majorHAnsi"/>
          <w:sz w:val="20"/>
          <w:szCs w:val="24"/>
        </w:rPr>
        <w:t xml:space="preserve">at </w:t>
      </w:r>
      <w:r w:rsidR="000D739F" w:rsidRPr="00AC7F63">
        <w:rPr>
          <w:rFonts w:asciiTheme="majorHAnsi" w:eastAsia="Times New Roman" w:hAnsiTheme="majorHAnsi"/>
          <w:sz w:val="20"/>
          <w:szCs w:val="24"/>
        </w:rPr>
        <w:t>2 months, 4 months, 6 months, 18 months, 4–6 years [except Hib])</w:t>
      </w:r>
    </w:p>
    <w:p w:rsidR="00E95C6C" w:rsidRPr="00AC7F63" w:rsidRDefault="000D60E8"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t xml:space="preserve">Hepatitis B vaccine (HBV)- </w:t>
      </w:r>
      <w:r w:rsidR="00CE74B1" w:rsidRPr="00AC7F63">
        <w:rPr>
          <w:rFonts w:asciiTheme="majorHAnsi" w:eastAsia="Times New Roman" w:hAnsiTheme="majorHAnsi"/>
          <w:sz w:val="20"/>
          <w:szCs w:val="24"/>
        </w:rPr>
        <w:t>3 doses</w:t>
      </w:r>
      <w:r w:rsidR="000D739F" w:rsidRPr="00AC7F63">
        <w:rPr>
          <w:rFonts w:asciiTheme="majorHAnsi" w:eastAsia="Times New Roman" w:hAnsiTheme="majorHAnsi"/>
          <w:sz w:val="20"/>
          <w:szCs w:val="24"/>
        </w:rPr>
        <w:t xml:space="preserve"> (</w:t>
      </w:r>
      <w:r w:rsidR="00340D70" w:rsidRPr="00AC7F63">
        <w:rPr>
          <w:rFonts w:asciiTheme="majorHAnsi" w:eastAsia="Times New Roman" w:hAnsiTheme="majorHAnsi"/>
          <w:sz w:val="20"/>
          <w:szCs w:val="24"/>
        </w:rPr>
        <w:t xml:space="preserve">at </w:t>
      </w:r>
      <w:r w:rsidR="00AC7F63">
        <w:rPr>
          <w:rFonts w:asciiTheme="majorHAnsi" w:eastAsia="Times New Roman" w:hAnsiTheme="majorHAnsi"/>
          <w:sz w:val="20"/>
          <w:szCs w:val="24"/>
        </w:rPr>
        <w:t xml:space="preserve">grade 5 or 9 to </w:t>
      </w:r>
      <w:r w:rsidR="000D739F" w:rsidRPr="00AC7F63">
        <w:rPr>
          <w:rFonts w:asciiTheme="majorHAnsi" w:eastAsia="Times New Roman" w:hAnsiTheme="majorHAnsi"/>
          <w:sz w:val="20"/>
          <w:szCs w:val="24"/>
        </w:rPr>
        <w:t>11 years)</w:t>
      </w:r>
    </w:p>
    <w:p w:rsidR="000D60E8" w:rsidRPr="00AC7F63" w:rsidRDefault="000D60E8"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t xml:space="preserve">Hepatitis A vaccine (HAV)- </w:t>
      </w:r>
      <w:r w:rsidR="00CE74B1" w:rsidRPr="00AC7F63">
        <w:rPr>
          <w:rFonts w:asciiTheme="majorHAnsi" w:eastAsia="Times New Roman" w:hAnsiTheme="majorHAnsi"/>
          <w:sz w:val="20"/>
          <w:szCs w:val="24"/>
        </w:rPr>
        <w:t>2 doses (6-12 months apart)</w:t>
      </w:r>
    </w:p>
    <w:p w:rsidR="000D60E8" w:rsidRPr="00AC7F63" w:rsidRDefault="000D60E8"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t xml:space="preserve">Varicella vaccine (VZV)- </w:t>
      </w:r>
      <w:r w:rsidR="00CE74B1" w:rsidRPr="00AC7F63">
        <w:rPr>
          <w:rFonts w:asciiTheme="majorHAnsi" w:eastAsia="Times New Roman" w:hAnsiTheme="majorHAnsi"/>
          <w:sz w:val="20"/>
          <w:szCs w:val="24"/>
        </w:rPr>
        <w:t>1 dose (if aged 12 months to 12 years old) or 2 doses (28 days apart if greater than 13 years of age)</w:t>
      </w:r>
    </w:p>
    <w:p w:rsidR="000D60E8" w:rsidRPr="00AC7F63" w:rsidRDefault="000D60E8"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t>13-Valent pneumococcal conjugate vaccine (PCV13)</w:t>
      </w:r>
      <w:r w:rsidR="00CE74B1" w:rsidRPr="00AC7F63">
        <w:rPr>
          <w:rFonts w:asciiTheme="majorHAnsi" w:eastAsia="Times New Roman" w:hAnsiTheme="majorHAnsi"/>
          <w:sz w:val="20"/>
          <w:szCs w:val="24"/>
        </w:rPr>
        <w:t>-</w:t>
      </w:r>
      <w:r w:rsidR="00340D70" w:rsidRPr="00AC7F63">
        <w:rPr>
          <w:rFonts w:asciiTheme="majorHAnsi" w:eastAsia="Times New Roman" w:hAnsiTheme="majorHAnsi"/>
          <w:sz w:val="20"/>
          <w:szCs w:val="24"/>
        </w:rPr>
        <w:t xml:space="preserve"> 1 dose (if greater than 23 months of age) or 3 doses (if aged 2 to 23 months)</w:t>
      </w:r>
    </w:p>
    <w:p w:rsidR="000D60E8" w:rsidRPr="00AC7F63" w:rsidRDefault="000D60E8"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t xml:space="preserve">Meningococcal C conjugate vaccine (Men-C)- </w:t>
      </w:r>
      <w:r w:rsidR="00340D70" w:rsidRPr="00AC7F63">
        <w:rPr>
          <w:rFonts w:asciiTheme="majorHAnsi" w:eastAsia="Times New Roman" w:hAnsiTheme="majorHAnsi"/>
          <w:sz w:val="20"/>
          <w:szCs w:val="24"/>
        </w:rPr>
        <w:t>1 dose (if greater than 12 months of age) or 2 doses ( if aged 2 to 12 months)</w:t>
      </w:r>
    </w:p>
    <w:p w:rsidR="000D60E8" w:rsidRPr="00AC7F63" w:rsidRDefault="000D60E8" w:rsidP="000B45BE">
      <w:pPr>
        <w:numPr>
          <w:ilvl w:val="0"/>
          <w:numId w:val="2"/>
        </w:numPr>
        <w:spacing w:after="0" w:line="360" w:lineRule="auto"/>
        <w:ind w:hanging="436"/>
        <w:jc w:val="both"/>
        <w:rPr>
          <w:rFonts w:asciiTheme="majorHAnsi" w:eastAsia="Times New Roman" w:hAnsiTheme="majorHAnsi"/>
          <w:sz w:val="20"/>
          <w:szCs w:val="24"/>
        </w:rPr>
      </w:pPr>
      <w:r w:rsidRPr="00AC7F63">
        <w:rPr>
          <w:rFonts w:asciiTheme="majorHAnsi" w:eastAsia="Times New Roman" w:hAnsiTheme="majorHAnsi"/>
          <w:sz w:val="20"/>
          <w:szCs w:val="24"/>
        </w:rPr>
        <w:t>Human papilloma virus vaccine (HPV)</w:t>
      </w:r>
      <w:r w:rsidR="000D739F" w:rsidRPr="00AC7F63">
        <w:rPr>
          <w:rFonts w:asciiTheme="majorHAnsi" w:eastAsia="Times New Roman" w:hAnsiTheme="majorHAnsi"/>
          <w:sz w:val="20"/>
          <w:szCs w:val="24"/>
        </w:rPr>
        <w:t>-</w:t>
      </w:r>
      <w:r w:rsidR="00EE5E92" w:rsidRPr="00AC7F63">
        <w:rPr>
          <w:rFonts w:asciiTheme="majorHAnsi" w:eastAsia="Times New Roman" w:hAnsiTheme="majorHAnsi"/>
          <w:sz w:val="20"/>
          <w:szCs w:val="24"/>
        </w:rPr>
        <w:t xml:space="preserve"> 3 d</w:t>
      </w:r>
      <w:r w:rsidR="00AC7F63">
        <w:rPr>
          <w:rFonts w:asciiTheme="majorHAnsi" w:eastAsia="Times New Roman" w:hAnsiTheme="majorHAnsi"/>
          <w:sz w:val="20"/>
          <w:szCs w:val="24"/>
        </w:rPr>
        <w:t>oses (females at grade 5 or 9 to</w:t>
      </w:r>
      <w:r w:rsidR="00EE5E92" w:rsidRPr="00AC7F63">
        <w:rPr>
          <w:rFonts w:asciiTheme="majorHAnsi" w:eastAsia="Times New Roman" w:hAnsiTheme="majorHAnsi"/>
          <w:sz w:val="20"/>
          <w:szCs w:val="24"/>
        </w:rPr>
        <w:t xml:space="preserve"> 11 years starting in 2008 or at grade 9 or 13 to 15 years from 2009 to 2012)</w:t>
      </w:r>
    </w:p>
    <w:p w:rsidR="00157AED" w:rsidRDefault="00157AED" w:rsidP="00431BC8">
      <w:pPr>
        <w:autoSpaceDE w:val="0"/>
        <w:autoSpaceDN w:val="0"/>
        <w:adjustRightInd w:val="0"/>
        <w:spacing w:after="0" w:line="480" w:lineRule="auto"/>
        <w:ind w:firstLine="709"/>
        <w:jc w:val="both"/>
        <w:rPr>
          <w:rFonts w:asciiTheme="majorHAnsi" w:hAnsiTheme="majorHAnsi"/>
          <w:sz w:val="24"/>
          <w:szCs w:val="24"/>
        </w:rPr>
      </w:pPr>
    </w:p>
    <w:p w:rsidR="00F2235D" w:rsidRPr="00F2235D" w:rsidRDefault="00EB4F04" w:rsidP="00431BC8">
      <w:pPr>
        <w:autoSpaceDE w:val="0"/>
        <w:autoSpaceDN w:val="0"/>
        <w:adjustRightInd w:val="0"/>
        <w:spacing w:after="0" w:line="480" w:lineRule="auto"/>
        <w:ind w:firstLine="709"/>
        <w:jc w:val="both"/>
        <w:rPr>
          <w:rFonts w:asciiTheme="majorHAnsi" w:hAnsiTheme="majorHAnsi"/>
          <w:sz w:val="24"/>
          <w:szCs w:val="24"/>
        </w:rPr>
      </w:pPr>
      <w:r w:rsidRPr="00410CCB">
        <w:rPr>
          <w:rFonts w:asciiTheme="majorHAnsi" w:hAnsiTheme="majorHAnsi"/>
          <w:sz w:val="24"/>
          <w:szCs w:val="24"/>
        </w:rPr>
        <w:t xml:space="preserve">In the last decade, </w:t>
      </w:r>
      <w:r>
        <w:rPr>
          <w:rFonts w:asciiTheme="majorHAnsi" w:hAnsiTheme="majorHAnsi"/>
          <w:sz w:val="24"/>
          <w:szCs w:val="24"/>
        </w:rPr>
        <w:t xml:space="preserve">the Albertan schedule added the </w:t>
      </w:r>
      <w:r w:rsidRPr="00410CCB">
        <w:rPr>
          <w:rFonts w:asciiTheme="majorHAnsi" w:hAnsiTheme="majorHAnsi"/>
          <w:sz w:val="24"/>
          <w:szCs w:val="24"/>
        </w:rPr>
        <w:t xml:space="preserve">Varicella vaccine, Pneumococcal conjugate vaccine, Meningococcal-C conjugate vaccine, and Human </w:t>
      </w:r>
      <w:proofErr w:type="spellStart"/>
      <w:r w:rsidRPr="00410CCB">
        <w:rPr>
          <w:rFonts w:asciiTheme="majorHAnsi" w:hAnsiTheme="majorHAnsi"/>
          <w:sz w:val="24"/>
          <w:szCs w:val="24"/>
        </w:rPr>
        <w:t>papilloma</w:t>
      </w:r>
      <w:proofErr w:type="spellEnd"/>
      <w:r w:rsidRPr="00410CCB">
        <w:rPr>
          <w:rFonts w:asciiTheme="majorHAnsi" w:hAnsiTheme="majorHAnsi"/>
          <w:sz w:val="24"/>
          <w:szCs w:val="24"/>
        </w:rPr>
        <w:t xml:space="preserve"> viru</w:t>
      </w:r>
      <w:r>
        <w:rPr>
          <w:rFonts w:asciiTheme="majorHAnsi" w:hAnsiTheme="majorHAnsi"/>
          <w:sz w:val="24"/>
          <w:szCs w:val="24"/>
        </w:rPr>
        <w:t>s vaccine.</w:t>
      </w:r>
      <w:r w:rsidR="00F2235D" w:rsidRPr="00F2235D">
        <w:rPr>
          <w:rFonts w:asciiTheme="majorHAnsi" w:hAnsiTheme="majorHAnsi"/>
          <w:sz w:val="24"/>
          <w:szCs w:val="24"/>
        </w:rPr>
        <w:t xml:space="preserve"> </w:t>
      </w:r>
      <w:r w:rsidR="009E3872">
        <w:rPr>
          <w:rFonts w:asciiTheme="majorHAnsi" w:hAnsiTheme="majorHAnsi"/>
          <w:sz w:val="24"/>
          <w:szCs w:val="24"/>
        </w:rPr>
        <w:t>T</w:t>
      </w:r>
      <w:r w:rsidR="00390DA3">
        <w:rPr>
          <w:rFonts w:asciiTheme="majorHAnsi" w:hAnsiTheme="majorHAnsi"/>
          <w:sz w:val="24"/>
          <w:szCs w:val="24"/>
        </w:rPr>
        <w:t xml:space="preserve">he majority of the study participants </w:t>
      </w:r>
      <w:r w:rsidR="009E3872">
        <w:rPr>
          <w:rFonts w:asciiTheme="majorHAnsi" w:hAnsiTheme="majorHAnsi"/>
          <w:sz w:val="24"/>
          <w:szCs w:val="24"/>
        </w:rPr>
        <w:t xml:space="preserve">received vaccines under the recommended immunization schedule that </w:t>
      </w:r>
      <w:r w:rsidR="00390DA3">
        <w:rPr>
          <w:rFonts w:asciiTheme="majorHAnsi" w:hAnsiTheme="majorHAnsi"/>
          <w:sz w:val="24"/>
          <w:szCs w:val="24"/>
        </w:rPr>
        <w:t>only included the</w:t>
      </w:r>
      <w:r w:rsidR="00AC7F63">
        <w:rPr>
          <w:rFonts w:asciiTheme="majorHAnsi" w:hAnsiTheme="majorHAnsi"/>
          <w:sz w:val="24"/>
          <w:szCs w:val="24"/>
        </w:rPr>
        <w:t>:</w:t>
      </w:r>
      <w:r w:rsidR="00390DA3">
        <w:rPr>
          <w:rFonts w:asciiTheme="majorHAnsi" w:hAnsiTheme="majorHAnsi"/>
          <w:sz w:val="24"/>
          <w:szCs w:val="24"/>
        </w:rPr>
        <w:t xml:space="preserve"> </w:t>
      </w:r>
      <w:r w:rsidR="00AC7F63">
        <w:rPr>
          <w:rFonts w:asciiTheme="majorHAnsi" w:hAnsiTheme="majorHAnsi"/>
          <w:sz w:val="24"/>
          <w:szCs w:val="24"/>
        </w:rPr>
        <w:t xml:space="preserve">[1] </w:t>
      </w:r>
      <w:r w:rsidR="00390DA3">
        <w:rPr>
          <w:rFonts w:asciiTheme="majorHAnsi" w:hAnsiTheme="majorHAnsi"/>
          <w:sz w:val="24"/>
          <w:szCs w:val="24"/>
        </w:rPr>
        <w:t>m</w:t>
      </w:r>
      <w:r w:rsidR="00390DA3" w:rsidRPr="00E95C6C">
        <w:rPr>
          <w:rFonts w:asciiTheme="majorHAnsi" w:eastAsia="Times New Roman" w:hAnsiTheme="majorHAnsi"/>
          <w:sz w:val="24"/>
          <w:szCs w:val="24"/>
        </w:rPr>
        <w:t xml:space="preserve">easles, </w:t>
      </w:r>
      <w:r w:rsidR="00AC7F63" w:rsidRPr="00E95C6C">
        <w:rPr>
          <w:rFonts w:asciiTheme="majorHAnsi" w:eastAsia="Times New Roman" w:hAnsiTheme="majorHAnsi"/>
          <w:sz w:val="24"/>
          <w:szCs w:val="24"/>
        </w:rPr>
        <w:t>mumps,</w:t>
      </w:r>
      <w:r w:rsidR="00390DA3" w:rsidRPr="00E95C6C">
        <w:rPr>
          <w:rFonts w:asciiTheme="majorHAnsi" w:eastAsia="Times New Roman" w:hAnsiTheme="majorHAnsi"/>
          <w:sz w:val="24"/>
          <w:szCs w:val="24"/>
        </w:rPr>
        <w:t xml:space="preserve"> and rubella vaccine</w:t>
      </w:r>
      <w:r w:rsidR="000B45BE">
        <w:rPr>
          <w:rFonts w:asciiTheme="majorHAnsi" w:eastAsia="Times New Roman" w:hAnsiTheme="majorHAnsi"/>
          <w:sz w:val="24"/>
          <w:szCs w:val="24"/>
        </w:rPr>
        <w:t xml:space="preserve"> (MMR)</w:t>
      </w:r>
      <w:r w:rsidR="00390DA3">
        <w:rPr>
          <w:rFonts w:asciiTheme="majorHAnsi" w:eastAsia="Times New Roman" w:hAnsiTheme="majorHAnsi"/>
          <w:sz w:val="24"/>
          <w:szCs w:val="24"/>
        </w:rPr>
        <w:t xml:space="preserve">, </w:t>
      </w:r>
      <w:r w:rsidR="00AC7F63">
        <w:rPr>
          <w:rFonts w:asciiTheme="majorHAnsi" w:eastAsia="Times New Roman" w:hAnsiTheme="majorHAnsi"/>
          <w:sz w:val="24"/>
          <w:szCs w:val="24"/>
        </w:rPr>
        <w:t>[2] d</w:t>
      </w:r>
      <w:r w:rsidR="00390DA3" w:rsidRPr="00E95C6C">
        <w:rPr>
          <w:rFonts w:asciiTheme="majorHAnsi" w:eastAsia="Times New Roman" w:hAnsiTheme="majorHAnsi"/>
          <w:sz w:val="24"/>
          <w:szCs w:val="24"/>
        </w:rPr>
        <w:t>iphtheri</w:t>
      </w:r>
      <w:r w:rsidR="00390DA3">
        <w:rPr>
          <w:rFonts w:asciiTheme="majorHAnsi" w:eastAsia="Times New Roman" w:hAnsiTheme="majorHAnsi"/>
          <w:sz w:val="24"/>
          <w:szCs w:val="24"/>
        </w:rPr>
        <w:t xml:space="preserve">a, tetanus, acellular pertussis, </w:t>
      </w:r>
      <w:r w:rsidR="00390DA3" w:rsidRPr="00E95C6C">
        <w:rPr>
          <w:rFonts w:asciiTheme="majorHAnsi" w:eastAsia="Times New Roman" w:hAnsiTheme="majorHAnsi"/>
          <w:sz w:val="24"/>
          <w:szCs w:val="24"/>
        </w:rPr>
        <w:t>inactivated polio virus vaccine</w:t>
      </w:r>
      <w:r w:rsidR="00390DA3">
        <w:rPr>
          <w:rFonts w:asciiTheme="majorHAnsi" w:eastAsia="Times New Roman" w:hAnsiTheme="majorHAnsi"/>
          <w:sz w:val="24"/>
          <w:szCs w:val="24"/>
        </w:rPr>
        <w:t xml:space="preserve"> and</w:t>
      </w:r>
      <w:r w:rsidR="008C3CC7">
        <w:rPr>
          <w:rFonts w:asciiTheme="majorHAnsi" w:eastAsia="Times New Roman" w:hAnsiTheme="majorHAnsi"/>
          <w:sz w:val="24"/>
          <w:szCs w:val="24"/>
        </w:rPr>
        <w:t xml:space="preserve"> </w:t>
      </w:r>
      <w:proofErr w:type="spellStart"/>
      <w:r w:rsidR="00390DA3" w:rsidRPr="00E95C6C">
        <w:rPr>
          <w:rFonts w:asciiTheme="majorHAnsi" w:eastAsia="Times New Roman" w:hAnsiTheme="majorHAnsi"/>
          <w:i/>
          <w:sz w:val="24"/>
          <w:szCs w:val="24"/>
        </w:rPr>
        <w:t>Haemophilus</w:t>
      </w:r>
      <w:proofErr w:type="spellEnd"/>
      <w:r w:rsidR="00390DA3" w:rsidRPr="00E95C6C">
        <w:rPr>
          <w:rFonts w:asciiTheme="majorHAnsi" w:eastAsia="Times New Roman" w:hAnsiTheme="majorHAnsi"/>
          <w:i/>
          <w:sz w:val="24"/>
          <w:szCs w:val="24"/>
        </w:rPr>
        <w:t xml:space="preserve"> </w:t>
      </w:r>
      <w:proofErr w:type="spellStart"/>
      <w:r w:rsidR="00390DA3" w:rsidRPr="00E95C6C">
        <w:rPr>
          <w:rFonts w:asciiTheme="majorHAnsi" w:eastAsia="Times New Roman" w:hAnsiTheme="majorHAnsi"/>
          <w:i/>
          <w:sz w:val="24"/>
          <w:szCs w:val="24"/>
        </w:rPr>
        <w:t>influenzae</w:t>
      </w:r>
      <w:proofErr w:type="spellEnd"/>
      <w:r w:rsidR="00390DA3" w:rsidRPr="00E95C6C">
        <w:rPr>
          <w:rFonts w:asciiTheme="majorHAnsi" w:eastAsia="Times New Roman" w:hAnsiTheme="majorHAnsi"/>
          <w:sz w:val="24"/>
          <w:szCs w:val="24"/>
        </w:rPr>
        <w:t xml:space="preserve"> type b conjugate vaccine</w:t>
      </w:r>
      <w:r w:rsidR="000B45BE" w:rsidRPr="000B45BE">
        <w:rPr>
          <w:rFonts w:asciiTheme="majorHAnsi" w:eastAsia="Times New Roman" w:hAnsiTheme="majorHAnsi"/>
          <w:sz w:val="24"/>
          <w:szCs w:val="24"/>
        </w:rPr>
        <w:t xml:space="preserve"> (</w:t>
      </w:r>
      <w:proofErr w:type="spellStart"/>
      <w:r w:rsidR="000B45BE" w:rsidRPr="000B45BE">
        <w:rPr>
          <w:rFonts w:asciiTheme="majorHAnsi" w:eastAsia="Times New Roman" w:hAnsiTheme="majorHAnsi"/>
          <w:sz w:val="24"/>
          <w:szCs w:val="24"/>
        </w:rPr>
        <w:t>DTaP</w:t>
      </w:r>
      <w:proofErr w:type="spellEnd"/>
      <w:r w:rsidR="000B45BE" w:rsidRPr="000B45BE">
        <w:rPr>
          <w:rFonts w:asciiTheme="majorHAnsi" w:eastAsia="Times New Roman" w:hAnsiTheme="majorHAnsi"/>
          <w:sz w:val="24"/>
          <w:szCs w:val="24"/>
        </w:rPr>
        <w:t>-IPV-</w:t>
      </w:r>
      <w:proofErr w:type="spellStart"/>
      <w:r w:rsidR="000B45BE" w:rsidRPr="000B45BE">
        <w:rPr>
          <w:rFonts w:asciiTheme="majorHAnsi" w:eastAsia="Times New Roman" w:hAnsiTheme="majorHAnsi"/>
          <w:sz w:val="24"/>
          <w:szCs w:val="24"/>
        </w:rPr>
        <w:t>Hib</w:t>
      </w:r>
      <w:proofErr w:type="spellEnd"/>
      <w:r w:rsidR="000B45BE" w:rsidRPr="000B45BE">
        <w:rPr>
          <w:rFonts w:asciiTheme="majorHAnsi" w:eastAsia="Times New Roman" w:hAnsiTheme="majorHAnsi"/>
          <w:sz w:val="24"/>
          <w:szCs w:val="24"/>
        </w:rPr>
        <w:t>)</w:t>
      </w:r>
      <w:r w:rsidR="00390DA3">
        <w:rPr>
          <w:rFonts w:asciiTheme="majorHAnsi" w:eastAsia="Times New Roman" w:hAnsiTheme="majorHAnsi"/>
          <w:sz w:val="24"/>
          <w:szCs w:val="24"/>
        </w:rPr>
        <w:t>, and</w:t>
      </w:r>
      <w:r w:rsidR="00AC7F63">
        <w:rPr>
          <w:rFonts w:asciiTheme="majorHAnsi" w:eastAsia="Times New Roman" w:hAnsiTheme="majorHAnsi"/>
          <w:sz w:val="24"/>
          <w:szCs w:val="24"/>
        </w:rPr>
        <w:t xml:space="preserve"> [3]</w:t>
      </w:r>
      <w:r w:rsidR="00390DA3">
        <w:rPr>
          <w:rFonts w:asciiTheme="majorHAnsi" w:eastAsia="Times New Roman" w:hAnsiTheme="majorHAnsi"/>
          <w:sz w:val="24"/>
          <w:szCs w:val="24"/>
        </w:rPr>
        <w:t xml:space="preserve"> h</w:t>
      </w:r>
      <w:r w:rsidR="00390DA3" w:rsidRPr="000D60E8">
        <w:rPr>
          <w:rFonts w:asciiTheme="majorHAnsi" w:eastAsia="Times New Roman" w:hAnsiTheme="majorHAnsi"/>
          <w:sz w:val="24"/>
          <w:szCs w:val="24"/>
        </w:rPr>
        <w:t xml:space="preserve">epatitis </w:t>
      </w:r>
      <w:r w:rsidR="00AC7F63">
        <w:rPr>
          <w:rFonts w:asciiTheme="majorHAnsi" w:eastAsia="Times New Roman" w:hAnsiTheme="majorHAnsi"/>
          <w:sz w:val="24"/>
          <w:szCs w:val="24"/>
        </w:rPr>
        <w:t>B</w:t>
      </w:r>
      <w:r w:rsidR="00390DA3">
        <w:rPr>
          <w:rFonts w:asciiTheme="majorHAnsi" w:eastAsia="Times New Roman" w:hAnsiTheme="majorHAnsi"/>
          <w:sz w:val="24"/>
          <w:szCs w:val="24"/>
        </w:rPr>
        <w:t xml:space="preserve"> vaccine</w:t>
      </w:r>
      <w:r w:rsidR="000B45BE">
        <w:rPr>
          <w:rFonts w:asciiTheme="majorHAnsi" w:eastAsia="Times New Roman" w:hAnsiTheme="majorHAnsi"/>
          <w:sz w:val="24"/>
          <w:szCs w:val="24"/>
        </w:rPr>
        <w:t xml:space="preserve"> (Hep B)</w:t>
      </w:r>
      <w:r w:rsidR="00390DA3">
        <w:rPr>
          <w:rFonts w:asciiTheme="majorHAnsi" w:eastAsia="Times New Roman" w:hAnsiTheme="majorHAnsi"/>
          <w:sz w:val="24"/>
          <w:szCs w:val="24"/>
        </w:rPr>
        <w:t xml:space="preserve">; these three vaccines </w:t>
      </w:r>
      <w:r w:rsidR="008A2EB2">
        <w:rPr>
          <w:rFonts w:asciiTheme="majorHAnsi" w:eastAsia="Times New Roman" w:hAnsiTheme="majorHAnsi"/>
          <w:sz w:val="24"/>
          <w:szCs w:val="24"/>
        </w:rPr>
        <w:t>constitute</w:t>
      </w:r>
      <w:r w:rsidR="00157AED">
        <w:rPr>
          <w:rFonts w:asciiTheme="majorHAnsi" w:eastAsia="Times New Roman" w:hAnsiTheme="majorHAnsi"/>
          <w:sz w:val="24"/>
          <w:szCs w:val="24"/>
        </w:rPr>
        <w:t>d</w:t>
      </w:r>
      <w:r w:rsidR="008A2EB2">
        <w:rPr>
          <w:rFonts w:asciiTheme="majorHAnsi" w:eastAsia="Times New Roman" w:hAnsiTheme="majorHAnsi"/>
          <w:sz w:val="24"/>
          <w:szCs w:val="24"/>
        </w:rPr>
        <w:t xml:space="preserve"> the </w:t>
      </w:r>
      <w:r w:rsidR="00390DA3">
        <w:rPr>
          <w:rFonts w:asciiTheme="majorHAnsi" w:eastAsia="Times New Roman" w:hAnsiTheme="majorHAnsi"/>
          <w:sz w:val="24"/>
          <w:szCs w:val="24"/>
        </w:rPr>
        <w:t xml:space="preserve">standard </w:t>
      </w:r>
      <w:r w:rsidR="008A2EB2">
        <w:rPr>
          <w:rFonts w:asciiTheme="majorHAnsi" w:eastAsia="Times New Roman" w:hAnsiTheme="majorHAnsi"/>
          <w:sz w:val="24"/>
          <w:szCs w:val="24"/>
        </w:rPr>
        <w:t xml:space="preserve">childhood </w:t>
      </w:r>
      <w:r w:rsidR="00157AED">
        <w:rPr>
          <w:rFonts w:asciiTheme="majorHAnsi" w:eastAsia="Times New Roman" w:hAnsiTheme="majorHAnsi"/>
          <w:sz w:val="24"/>
          <w:szCs w:val="24"/>
        </w:rPr>
        <w:t>im</w:t>
      </w:r>
      <w:r w:rsidR="008331D9">
        <w:rPr>
          <w:rFonts w:asciiTheme="majorHAnsi" w:eastAsia="Times New Roman" w:hAnsiTheme="majorHAnsi"/>
          <w:sz w:val="24"/>
          <w:szCs w:val="24"/>
        </w:rPr>
        <w:t>munizations</w:t>
      </w:r>
      <w:r w:rsidR="008A2EB2">
        <w:rPr>
          <w:rFonts w:asciiTheme="majorHAnsi" w:eastAsia="Times New Roman" w:hAnsiTheme="majorHAnsi"/>
          <w:sz w:val="24"/>
          <w:szCs w:val="24"/>
        </w:rPr>
        <w:t xml:space="preserve"> </w:t>
      </w:r>
      <w:r w:rsidR="00157AED">
        <w:rPr>
          <w:rFonts w:asciiTheme="majorHAnsi" w:eastAsia="Times New Roman" w:hAnsiTheme="majorHAnsi"/>
          <w:sz w:val="24"/>
          <w:szCs w:val="24"/>
        </w:rPr>
        <w:t>for assessing</w:t>
      </w:r>
      <w:r w:rsidR="008A2EB2">
        <w:rPr>
          <w:rFonts w:asciiTheme="majorHAnsi" w:eastAsia="Times New Roman" w:hAnsiTheme="majorHAnsi"/>
          <w:sz w:val="24"/>
          <w:szCs w:val="24"/>
        </w:rPr>
        <w:t xml:space="preserve"> completeness of vaccinations</w:t>
      </w:r>
      <w:r w:rsidR="00390DA3">
        <w:rPr>
          <w:rFonts w:asciiTheme="majorHAnsi" w:eastAsia="Times New Roman" w:hAnsiTheme="majorHAnsi"/>
          <w:sz w:val="24"/>
          <w:szCs w:val="24"/>
        </w:rPr>
        <w:t>.</w:t>
      </w:r>
      <w:r w:rsidR="008C46E2">
        <w:rPr>
          <w:rFonts w:asciiTheme="majorHAnsi" w:eastAsia="Times New Roman" w:hAnsiTheme="majorHAnsi"/>
          <w:sz w:val="24"/>
          <w:szCs w:val="24"/>
        </w:rPr>
        <w:t xml:space="preserve"> </w:t>
      </w:r>
    </w:p>
    <w:p w:rsidR="002E5468" w:rsidRDefault="002E5468" w:rsidP="00DA3DED">
      <w:pPr>
        <w:autoSpaceDE w:val="0"/>
        <w:autoSpaceDN w:val="0"/>
        <w:adjustRightInd w:val="0"/>
        <w:spacing w:after="0" w:line="480" w:lineRule="auto"/>
        <w:rPr>
          <w:rFonts w:asciiTheme="minorHAnsi" w:hAnsiTheme="minorHAnsi" w:cs="Arial"/>
          <w:b/>
          <w:sz w:val="24"/>
          <w:szCs w:val="24"/>
        </w:rPr>
      </w:pPr>
      <w:r>
        <w:rPr>
          <w:rFonts w:asciiTheme="minorHAnsi" w:hAnsiTheme="minorHAnsi" w:cs="Arial"/>
          <w:b/>
          <w:sz w:val="24"/>
          <w:szCs w:val="24"/>
        </w:rPr>
        <w:t>Serologic Protection</w:t>
      </w:r>
    </w:p>
    <w:p w:rsidR="009E3BCA" w:rsidRDefault="009E3BCA"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The Provincial Laboratory</w:t>
      </w:r>
      <w:r w:rsidR="00192F59">
        <w:rPr>
          <w:rFonts w:asciiTheme="majorHAnsi" w:hAnsiTheme="majorHAnsi" w:cs="Arial"/>
          <w:sz w:val="24"/>
          <w:szCs w:val="24"/>
        </w:rPr>
        <w:t xml:space="preserve"> for Public Health (Microbiology), Calgary, Alberta,</w:t>
      </w:r>
      <w:r>
        <w:rPr>
          <w:rFonts w:asciiTheme="majorHAnsi" w:hAnsiTheme="majorHAnsi" w:cs="Arial"/>
          <w:sz w:val="24"/>
          <w:szCs w:val="24"/>
        </w:rPr>
        <w:t xml:space="preserve"> stored the serum at </w:t>
      </w:r>
      <w:r w:rsidRPr="009E3BCA">
        <w:rPr>
          <w:rFonts w:asciiTheme="majorHAnsi" w:hAnsiTheme="majorHAnsi" w:cs="Arial"/>
          <w:sz w:val="24"/>
          <w:szCs w:val="24"/>
        </w:rPr>
        <w:t>-20°C</w:t>
      </w:r>
      <w:r>
        <w:rPr>
          <w:rFonts w:asciiTheme="majorHAnsi" w:hAnsiTheme="majorHAnsi" w:cs="Arial"/>
          <w:sz w:val="24"/>
          <w:szCs w:val="24"/>
        </w:rPr>
        <w:t xml:space="preserve"> and conducted the serologic testing. </w:t>
      </w:r>
      <w:r w:rsidRPr="009E3BCA">
        <w:rPr>
          <w:rFonts w:asciiTheme="majorHAnsi" w:hAnsiTheme="majorHAnsi" w:cs="Arial"/>
          <w:sz w:val="24"/>
          <w:szCs w:val="24"/>
        </w:rPr>
        <w:t>Antibodies to hepatitis B surf</w:t>
      </w:r>
      <w:r w:rsidR="008331D9">
        <w:rPr>
          <w:rFonts w:asciiTheme="majorHAnsi" w:hAnsiTheme="majorHAnsi" w:cs="Arial"/>
          <w:sz w:val="24"/>
          <w:szCs w:val="24"/>
        </w:rPr>
        <w:t>ace antigen, hepatitis A virus</w:t>
      </w:r>
      <w:r w:rsidRPr="009E3BCA">
        <w:rPr>
          <w:rFonts w:asciiTheme="majorHAnsi" w:hAnsiTheme="majorHAnsi" w:cs="Arial"/>
          <w:sz w:val="24"/>
          <w:szCs w:val="24"/>
        </w:rPr>
        <w:t>,</w:t>
      </w:r>
      <w:r w:rsidR="008331D9">
        <w:rPr>
          <w:rFonts w:asciiTheme="majorHAnsi" w:hAnsiTheme="majorHAnsi" w:cs="Arial"/>
          <w:sz w:val="24"/>
          <w:szCs w:val="24"/>
        </w:rPr>
        <w:t xml:space="preserve"> and</w:t>
      </w:r>
      <w:r w:rsidRPr="009E3BCA">
        <w:rPr>
          <w:rFonts w:asciiTheme="majorHAnsi" w:hAnsiTheme="majorHAnsi" w:cs="Arial"/>
          <w:sz w:val="24"/>
          <w:szCs w:val="24"/>
        </w:rPr>
        <w:t xml:space="preserve"> rubella</w:t>
      </w:r>
      <w:r w:rsidR="008331D9">
        <w:rPr>
          <w:rFonts w:asciiTheme="majorHAnsi" w:hAnsiTheme="majorHAnsi" w:cs="Arial"/>
          <w:sz w:val="24"/>
          <w:szCs w:val="24"/>
        </w:rPr>
        <w:t xml:space="preserve"> </w:t>
      </w:r>
      <w:r>
        <w:rPr>
          <w:rFonts w:asciiTheme="majorHAnsi" w:hAnsiTheme="majorHAnsi" w:cs="Arial"/>
          <w:sz w:val="24"/>
          <w:szCs w:val="24"/>
        </w:rPr>
        <w:t>were</w:t>
      </w:r>
      <w:r w:rsidRPr="009E3BCA">
        <w:rPr>
          <w:rFonts w:asciiTheme="majorHAnsi" w:hAnsiTheme="majorHAnsi" w:cs="Arial"/>
          <w:sz w:val="24"/>
          <w:szCs w:val="24"/>
        </w:rPr>
        <w:t xml:space="preserve"> measured by </w:t>
      </w:r>
      <w:proofErr w:type="spellStart"/>
      <w:r w:rsidRPr="009E3BCA">
        <w:rPr>
          <w:rFonts w:asciiTheme="majorHAnsi" w:hAnsiTheme="majorHAnsi" w:cs="Arial"/>
          <w:sz w:val="24"/>
          <w:szCs w:val="24"/>
        </w:rPr>
        <w:t>microparticle</w:t>
      </w:r>
      <w:proofErr w:type="spellEnd"/>
      <w:r w:rsidRPr="009E3BCA">
        <w:rPr>
          <w:rFonts w:asciiTheme="majorHAnsi" w:hAnsiTheme="majorHAnsi" w:cs="Arial"/>
          <w:sz w:val="24"/>
          <w:szCs w:val="24"/>
        </w:rPr>
        <w:t xml:space="preserve"> enzyme </w:t>
      </w:r>
      <w:proofErr w:type="spellStart"/>
      <w:r w:rsidRPr="009E3BCA">
        <w:rPr>
          <w:rFonts w:asciiTheme="majorHAnsi" w:hAnsiTheme="majorHAnsi" w:cs="Arial"/>
          <w:sz w:val="24"/>
          <w:szCs w:val="24"/>
        </w:rPr>
        <w:t>immonoassays</w:t>
      </w:r>
      <w:proofErr w:type="spellEnd"/>
      <w:r w:rsidRPr="009E3BCA">
        <w:rPr>
          <w:rFonts w:asciiTheme="majorHAnsi" w:hAnsiTheme="majorHAnsi" w:cs="Arial"/>
          <w:sz w:val="24"/>
          <w:szCs w:val="24"/>
        </w:rPr>
        <w:t xml:space="preserve"> for the viruses. Th</w:t>
      </w:r>
      <w:r w:rsidR="008331D9">
        <w:rPr>
          <w:rFonts w:asciiTheme="majorHAnsi" w:hAnsiTheme="majorHAnsi" w:cs="Arial"/>
          <w:sz w:val="24"/>
          <w:szCs w:val="24"/>
        </w:rPr>
        <w:t xml:space="preserve">e </w:t>
      </w:r>
      <w:proofErr w:type="gramStart"/>
      <w:r w:rsidR="008331D9">
        <w:rPr>
          <w:rFonts w:asciiTheme="majorHAnsi" w:hAnsiTheme="majorHAnsi" w:cs="Arial"/>
          <w:sz w:val="24"/>
          <w:szCs w:val="24"/>
        </w:rPr>
        <w:t>assays for hepatitis A virus was</w:t>
      </w:r>
      <w:proofErr w:type="gramEnd"/>
      <w:r w:rsidR="008331D9">
        <w:rPr>
          <w:rFonts w:asciiTheme="majorHAnsi" w:hAnsiTheme="majorHAnsi" w:cs="Arial"/>
          <w:sz w:val="24"/>
          <w:szCs w:val="24"/>
        </w:rPr>
        <w:t xml:space="preserve"> qualitatively </w:t>
      </w:r>
      <w:r w:rsidRPr="009E3BCA">
        <w:rPr>
          <w:rFonts w:asciiTheme="majorHAnsi" w:hAnsiTheme="majorHAnsi" w:cs="Arial"/>
          <w:sz w:val="24"/>
          <w:szCs w:val="24"/>
        </w:rPr>
        <w:t>reported as positive, indeterminate, or n</w:t>
      </w:r>
      <w:r w:rsidR="008331D9">
        <w:rPr>
          <w:rFonts w:asciiTheme="majorHAnsi" w:hAnsiTheme="majorHAnsi" w:cs="Arial"/>
          <w:sz w:val="24"/>
          <w:szCs w:val="24"/>
        </w:rPr>
        <w:t>egative; a</w:t>
      </w:r>
      <w:r w:rsidRPr="009E3BCA">
        <w:rPr>
          <w:rFonts w:asciiTheme="majorHAnsi" w:hAnsiTheme="majorHAnsi" w:cs="Arial"/>
          <w:sz w:val="24"/>
          <w:szCs w:val="24"/>
        </w:rPr>
        <w:t xml:space="preserve"> positive result indicate</w:t>
      </w:r>
      <w:r>
        <w:rPr>
          <w:rFonts w:asciiTheme="majorHAnsi" w:hAnsiTheme="majorHAnsi" w:cs="Arial"/>
          <w:sz w:val="24"/>
          <w:szCs w:val="24"/>
        </w:rPr>
        <w:t>d</w:t>
      </w:r>
      <w:r w:rsidRPr="009E3BCA">
        <w:rPr>
          <w:rFonts w:asciiTheme="majorHAnsi" w:hAnsiTheme="majorHAnsi" w:cs="Arial"/>
          <w:sz w:val="24"/>
          <w:szCs w:val="24"/>
        </w:rPr>
        <w:t xml:space="preserve"> serologic protection. The </w:t>
      </w:r>
      <w:r w:rsidRPr="009E3BCA">
        <w:rPr>
          <w:rFonts w:asciiTheme="majorHAnsi" w:hAnsiTheme="majorHAnsi" w:cs="Arial"/>
          <w:sz w:val="24"/>
          <w:szCs w:val="24"/>
        </w:rPr>
        <w:lastRenderedPageBreak/>
        <w:t xml:space="preserve">assays for rubella IgG antibody and antibody to hepatitis B surface antigen </w:t>
      </w:r>
      <w:r>
        <w:rPr>
          <w:rFonts w:asciiTheme="majorHAnsi" w:hAnsiTheme="majorHAnsi" w:cs="Arial"/>
          <w:sz w:val="24"/>
          <w:szCs w:val="24"/>
        </w:rPr>
        <w:t>were</w:t>
      </w:r>
      <w:r w:rsidRPr="009E3BCA">
        <w:rPr>
          <w:rFonts w:asciiTheme="majorHAnsi" w:hAnsiTheme="majorHAnsi" w:cs="Arial"/>
          <w:sz w:val="24"/>
          <w:szCs w:val="24"/>
        </w:rPr>
        <w:t xml:space="preserve"> quantitative and </w:t>
      </w:r>
      <w:r>
        <w:rPr>
          <w:rFonts w:asciiTheme="majorHAnsi" w:hAnsiTheme="majorHAnsi" w:cs="Arial"/>
          <w:sz w:val="24"/>
          <w:szCs w:val="24"/>
        </w:rPr>
        <w:t>were</w:t>
      </w:r>
      <w:r w:rsidRPr="009E3BCA">
        <w:rPr>
          <w:rFonts w:asciiTheme="majorHAnsi" w:hAnsiTheme="majorHAnsi" w:cs="Arial"/>
          <w:sz w:val="24"/>
          <w:szCs w:val="24"/>
        </w:rPr>
        <w:t xml:space="preserve"> reported in IU/ml and IU/L, respectively. According to Calgary Laboratory Services, </w:t>
      </w:r>
      <w:r>
        <w:rPr>
          <w:rFonts w:asciiTheme="majorHAnsi" w:hAnsiTheme="majorHAnsi" w:cs="Arial"/>
          <w:sz w:val="24"/>
          <w:szCs w:val="24"/>
        </w:rPr>
        <w:t>serological protection for rubella is indicated by a</w:t>
      </w:r>
      <w:r w:rsidRPr="009E3BCA">
        <w:rPr>
          <w:rFonts w:asciiTheme="majorHAnsi" w:hAnsiTheme="majorHAnsi" w:cs="Arial"/>
          <w:sz w:val="24"/>
          <w:szCs w:val="24"/>
        </w:rPr>
        <w:t xml:space="preserve"> rubella IgG titer ≥ 15 IU/ml</w:t>
      </w:r>
      <w:r>
        <w:rPr>
          <w:rFonts w:asciiTheme="majorHAnsi" w:hAnsiTheme="majorHAnsi" w:cs="Arial"/>
          <w:sz w:val="24"/>
          <w:szCs w:val="24"/>
        </w:rPr>
        <w:t xml:space="preserve"> and an </w:t>
      </w:r>
      <w:r w:rsidRPr="009E3BCA">
        <w:rPr>
          <w:rFonts w:asciiTheme="majorHAnsi" w:hAnsiTheme="majorHAnsi" w:cs="Arial"/>
          <w:sz w:val="24"/>
          <w:szCs w:val="24"/>
        </w:rPr>
        <w:t xml:space="preserve">antibody titer ≥ 10 IU/L </w:t>
      </w:r>
      <w:r>
        <w:rPr>
          <w:rFonts w:asciiTheme="majorHAnsi" w:hAnsiTheme="majorHAnsi" w:cs="Arial"/>
          <w:sz w:val="24"/>
          <w:szCs w:val="24"/>
        </w:rPr>
        <w:t>for</w:t>
      </w:r>
      <w:r w:rsidRPr="009E3BCA">
        <w:rPr>
          <w:rFonts w:asciiTheme="majorHAnsi" w:hAnsiTheme="majorHAnsi" w:cs="Arial"/>
          <w:sz w:val="24"/>
          <w:szCs w:val="24"/>
        </w:rPr>
        <w:t xml:space="preserve"> hepatitis B surface antigen</w:t>
      </w:r>
      <w:r>
        <w:rPr>
          <w:rFonts w:asciiTheme="majorHAnsi" w:hAnsiTheme="majorHAnsi" w:cs="Arial"/>
          <w:sz w:val="24"/>
          <w:szCs w:val="24"/>
        </w:rPr>
        <w:t>.</w:t>
      </w:r>
      <w:r w:rsidR="004260E2">
        <w:rPr>
          <w:rFonts w:asciiTheme="majorHAnsi" w:hAnsiTheme="majorHAnsi" w:cs="Arial" w:hint="eastAsia"/>
          <w:sz w:val="24"/>
          <w:szCs w:val="24"/>
          <w:lang w:eastAsia="zh-TW"/>
        </w:rPr>
        <w:t xml:space="preserve"> (7)</w:t>
      </w:r>
      <w:r w:rsidR="006F2DA0" w:rsidRPr="004260E2">
        <w:rPr>
          <w:rStyle w:val="EndnoteReference"/>
          <w:rFonts w:asciiTheme="majorHAnsi" w:hAnsiTheme="majorHAnsi" w:cs="Arial"/>
          <w:color w:val="FFFFFF" w:themeColor="background1"/>
          <w:sz w:val="2"/>
          <w:szCs w:val="2"/>
          <w:vertAlign w:val="superscript"/>
        </w:rPr>
        <w:t>(</w:t>
      </w:r>
      <w:r w:rsidR="006F2DA0" w:rsidRPr="004260E2">
        <w:rPr>
          <w:rStyle w:val="EndnoteReference"/>
          <w:rFonts w:asciiTheme="majorHAnsi" w:hAnsiTheme="majorHAnsi" w:cs="Arial"/>
          <w:color w:val="FFFFFF" w:themeColor="background1"/>
          <w:sz w:val="2"/>
          <w:szCs w:val="2"/>
          <w:vertAlign w:val="superscript"/>
        </w:rPr>
        <w:endnoteReference w:id="8"/>
      </w:r>
      <w:r w:rsidR="006F2DA0" w:rsidRPr="004260E2">
        <w:rPr>
          <w:rStyle w:val="EndnoteReference"/>
          <w:rFonts w:asciiTheme="majorHAnsi" w:hAnsiTheme="majorHAnsi" w:cs="Arial"/>
          <w:color w:val="FFFFFF" w:themeColor="background1"/>
          <w:sz w:val="2"/>
          <w:szCs w:val="2"/>
          <w:vertAlign w:val="superscript"/>
        </w:rPr>
        <w:t>)</w:t>
      </w:r>
      <w:r w:rsidR="00216112">
        <w:rPr>
          <w:rStyle w:val="EndnoteReference"/>
          <w:rFonts w:asciiTheme="majorHAnsi" w:hAnsiTheme="majorHAnsi" w:cs="Arial"/>
          <w:szCs w:val="24"/>
        </w:rPr>
        <w:t xml:space="preserve"> </w:t>
      </w:r>
      <w:r w:rsidR="008C7DDB" w:rsidRPr="008C7DDB">
        <w:rPr>
          <w:rFonts w:asciiTheme="majorHAnsi" w:hAnsiTheme="majorHAnsi" w:cs="Arial"/>
          <w:sz w:val="24"/>
          <w:szCs w:val="24"/>
        </w:rPr>
        <w:t xml:space="preserve">Only the results from Rubella, Hepatitis A, and B will be available in this report as the results </w:t>
      </w:r>
      <w:r w:rsidR="008331D9">
        <w:rPr>
          <w:rFonts w:asciiTheme="majorHAnsi" w:hAnsiTheme="majorHAnsi" w:cs="Arial"/>
          <w:sz w:val="24"/>
          <w:szCs w:val="24"/>
        </w:rPr>
        <w:t xml:space="preserve">for </w:t>
      </w:r>
      <w:r w:rsidR="008331D9" w:rsidRPr="008331D9">
        <w:rPr>
          <w:rFonts w:asciiTheme="majorHAnsi" w:hAnsiTheme="majorHAnsi" w:cs="Arial"/>
          <w:sz w:val="24"/>
          <w:szCs w:val="24"/>
        </w:rPr>
        <w:t xml:space="preserve">varicella zoster virus, measles, mumps, </w:t>
      </w:r>
      <w:proofErr w:type="spellStart"/>
      <w:r w:rsidR="008331D9" w:rsidRPr="008331D9">
        <w:rPr>
          <w:rFonts w:asciiTheme="majorHAnsi" w:hAnsiTheme="majorHAnsi" w:cs="Arial"/>
          <w:sz w:val="24"/>
          <w:szCs w:val="24"/>
        </w:rPr>
        <w:t>Corynebacterium</w:t>
      </w:r>
      <w:proofErr w:type="spellEnd"/>
      <w:r w:rsidR="008331D9" w:rsidRPr="008331D9">
        <w:rPr>
          <w:rFonts w:asciiTheme="majorHAnsi" w:hAnsiTheme="majorHAnsi" w:cs="Arial"/>
          <w:sz w:val="24"/>
          <w:szCs w:val="24"/>
        </w:rPr>
        <w:t xml:space="preserve"> diphtheria toxin, and Clostridium </w:t>
      </w:r>
      <w:proofErr w:type="spellStart"/>
      <w:r w:rsidR="008331D9" w:rsidRPr="008331D9">
        <w:rPr>
          <w:rFonts w:asciiTheme="majorHAnsi" w:hAnsiTheme="majorHAnsi" w:cs="Arial"/>
          <w:sz w:val="24"/>
          <w:szCs w:val="24"/>
        </w:rPr>
        <w:t>tetani</w:t>
      </w:r>
      <w:proofErr w:type="spellEnd"/>
      <w:r w:rsidR="008331D9" w:rsidRPr="008331D9">
        <w:rPr>
          <w:rFonts w:asciiTheme="majorHAnsi" w:hAnsiTheme="majorHAnsi" w:cs="Arial"/>
          <w:sz w:val="24"/>
          <w:szCs w:val="24"/>
        </w:rPr>
        <w:t xml:space="preserve"> toxin</w:t>
      </w:r>
      <w:r w:rsidR="008331D9">
        <w:rPr>
          <w:rFonts w:asciiTheme="majorHAnsi" w:hAnsiTheme="majorHAnsi" w:cs="Arial"/>
          <w:sz w:val="24"/>
          <w:szCs w:val="24"/>
        </w:rPr>
        <w:t xml:space="preserve"> </w:t>
      </w:r>
      <w:r w:rsidR="008C7DDB" w:rsidRPr="008C7DDB">
        <w:rPr>
          <w:rFonts w:asciiTheme="majorHAnsi" w:hAnsiTheme="majorHAnsi" w:cs="Arial"/>
          <w:sz w:val="24"/>
          <w:szCs w:val="24"/>
        </w:rPr>
        <w:t>are pending.</w:t>
      </w:r>
    </w:p>
    <w:p w:rsidR="00192F59" w:rsidRDefault="00192F59"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 xml:space="preserve">The laboratory technicians and virologists performed the serologic testing without knowledge of the participant’s diagnosis, immune status, or </w:t>
      </w:r>
      <w:r w:rsidR="00D25881">
        <w:rPr>
          <w:rFonts w:asciiTheme="majorHAnsi" w:hAnsiTheme="majorHAnsi" w:cs="Arial"/>
          <w:sz w:val="24"/>
          <w:szCs w:val="24"/>
        </w:rPr>
        <w:t xml:space="preserve">medical </w:t>
      </w:r>
      <w:r>
        <w:rPr>
          <w:rFonts w:asciiTheme="majorHAnsi" w:hAnsiTheme="majorHAnsi" w:cs="Arial"/>
          <w:sz w:val="24"/>
          <w:szCs w:val="24"/>
        </w:rPr>
        <w:t>treatment.</w:t>
      </w:r>
    </w:p>
    <w:p w:rsidR="002E5468" w:rsidRPr="00703BCE" w:rsidRDefault="002E5468" w:rsidP="00DA3DED">
      <w:pPr>
        <w:autoSpaceDE w:val="0"/>
        <w:autoSpaceDN w:val="0"/>
        <w:adjustRightInd w:val="0"/>
        <w:spacing w:after="0" w:line="480" w:lineRule="auto"/>
        <w:rPr>
          <w:rFonts w:asciiTheme="minorHAnsi" w:hAnsiTheme="minorHAnsi" w:cs="Arial"/>
          <w:b/>
          <w:sz w:val="24"/>
          <w:szCs w:val="24"/>
        </w:rPr>
      </w:pPr>
      <w:r>
        <w:rPr>
          <w:rFonts w:asciiTheme="minorHAnsi" w:hAnsiTheme="minorHAnsi" w:cs="Arial"/>
          <w:b/>
          <w:sz w:val="24"/>
          <w:szCs w:val="24"/>
        </w:rPr>
        <w:t>Statistical Analysis</w:t>
      </w:r>
    </w:p>
    <w:p w:rsidR="00B35D71" w:rsidRPr="00B35D71" w:rsidRDefault="00877D97" w:rsidP="00DA3DED">
      <w:pPr>
        <w:autoSpaceDE w:val="0"/>
        <w:autoSpaceDN w:val="0"/>
        <w:adjustRightInd w:val="0"/>
        <w:spacing w:after="0" w:line="480" w:lineRule="auto"/>
        <w:ind w:firstLine="720"/>
        <w:jc w:val="both"/>
        <w:rPr>
          <w:rFonts w:asciiTheme="majorHAnsi" w:hAnsiTheme="majorHAnsi" w:cs="Arial"/>
          <w:sz w:val="24"/>
          <w:szCs w:val="24"/>
        </w:rPr>
      </w:pPr>
      <w:r w:rsidRPr="00877D97">
        <w:rPr>
          <w:rFonts w:asciiTheme="majorHAnsi" w:hAnsiTheme="majorHAnsi" w:cs="Arial"/>
          <w:sz w:val="24"/>
          <w:szCs w:val="24"/>
        </w:rPr>
        <w:t xml:space="preserve">Data </w:t>
      </w:r>
      <w:r>
        <w:rPr>
          <w:rFonts w:asciiTheme="majorHAnsi" w:hAnsiTheme="majorHAnsi" w:cs="Arial"/>
          <w:sz w:val="24"/>
          <w:szCs w:val="24"/>
        </w:rPr>
        <w:t>was</w:t>
      </w:r>
      <w:r w:rsidRPr="00877D97">
        <w:rPr>
          <w:rFonts w:asciiTheme="majorHAnsi" w:hAnsiTheme="majorHAnsi" w:cs="Arial"/>
          <w:sz w:val="24"/>
          <w:szCs w:val="24"/>
        </w:rPr>
        <w:t xml:space="preserve"> entered into a database with Excel XP (Microsoft Corp, Redman, WA) and statistical analysis </w:t>
      </w:r>
      <w:r>
        <w:rPr>
          <w:rFonts w:asciiTheme="majorHAnsi" w:hAnsiTheme="majorHAnsi" w:cs="Arial"/>
          <w:sz w:val="24"/>
          <w:szCs w:val="24"/>
        </w:rPr>
        <w:t>was</w:t>
      </w:r>
      <w:r w:rsidRPr="00877D97">
        <w:rPr>
          <w:rFonts w:asciiTheme="majorHAnsi" w:hAnsiTheme="majorHAnsi" w:cs="Arial"/>
          <w:sz w:val="24"/>
          <w:szCs w:val="24"/>
        </w:rPr>
        <w:t xml:space="preserve"> performed using Intercooled Stata software (Stata Corporation, College Station, Texas). We describe</w:t>
      </w:r>
      <w:r>
        <w:rPr>
          <w:rFonts w:asciiTheme="majorHAnsi" w:hAnsiTheme="majorHAnsi" w:cs="Arial"/>
          <w:sz w:val="24"/>
          <w:szCs w:val="24"/>
        </w:rPr>
        <w:t>d</w:t>
      </w:r>
      <w:r w:rsidRPr="00877D97">
        <w:rPr>
          <w:rFonts w:asciiTheme="majorHAnsi" w:hAnsiTheme="majorHAnsi" w:cs="Arial"/>
          <w:sz w:val="24"/>
          <w:szCs w:val="24"/>
        </w:rPr>
        <w:t xml:space="preserve"> demographic characteristics, I</w:t>
      </w:r>
      <w:r w:rsidR="003E478D">
        <w:rPr>
          <w:rFonts w:asciiTheme="majorHAnsi" w:hAnsiTheme="majorHAnsi" w:cs="Arial"/>
          <w:sz w:val="24"/>
          <w:szCs w:val="24"/>
        </w:rPr>
        <w:t>BD history and immunization completeness.</w:t>
      </w:r>
      <w:r w:rsidRPr="00877D97">
        <w:rPr>
          <w:rFonts w:asciiTheme="majorHAnsi" w:hAnsiTheme="majorHAnsi" w:cs="Arial"/>
          <w:sz w:val="24"/>
          <w:szCs w:val="24"/>
        </w:rPr>
        <w:t xml:space="preserve"> </w:t>
      </w:r>
      <w:r w:rsidR="00B35D71" w:rsidRPr="00B35D71">
        <w:rPr>
          <w:rFonts w:asciiTheme="majorHAnsi" w:hAnsiTheme="majorHAnsi" w:cs="Arial"/>
          <w:sz w:val="24"/>
          <w:szCs w:val="24"/>
        </w:rPr>
        <w:t>For each</w:t>
      </w:r>
      <w:r w:rsidR="00B35D71">
        <w:rPr>
          <w:rFonts w:asciiTheme="majorHAnsi" w:hAnsiTheme="majorHAnsi" w:cs="Arial"/>
          <w:sz w:val="24"/>
          <w:szCs w:val="24"/>
        </w:rPr>
        <w:t xml:space="preserve"> vaccine, the proportion of children with IBD with serologic protection was calculated. For vaccine completeness, the proportion of children with IBD </w:t>
      </w:r>
      <w:r w:rsidR="00FA2B1D">
        <w:rPr>
          <w:rFonts w:asciiTheme="majorHAnsi" w:hAnsiTheme="majorHAnsi" w:cs="Arial"/>
          <w:sz w:val="24"/>
          <w:szCs w:val="24"/>
        </w:rPr>
        <w:t>and</w:t>
      </w:r>
      <w:r w:rsidR="00B35D71">
        <w:rPr>
          <w:rFonts w:asciiTheme="majorHAnsi" w:hAnsiTheme="majorHAnsi" w:cs="Arial"/>
          <w:sz w:val="24"/>
          <w:szCs w:val="24"/>
        </w:rPr>
        <w:t xml:space="preserve"> complete routine childhood vaccinations was</w:t>
      </w:r>
      <w:r w:rsidR="008A2EB2">
        <w:rPr>
          <w:rFonts w:asciiTheme="majorHAnsi" w:hAnsiTheme="majorHAnsi" w:cs="Arial"/>
          <w:sz w:val="24"/>
          <w:szCs w:val="24"/>
        </w:rPr>
        <w:t xml:space="preserve"> evaluated</w:t>
      </w:r>
      <w:r w:rsidR="00B35D71">
        <w:rPr>
          <w:rFonts w:asciiTheme="majorHAnsi" w:hAnsiTheme="majorHAnsi" w:cs="Arial"/>
          <w:sz w:val="24"/>
          <w:szCs w:val="24"/>
        </w:rPr>
        <w:t xml:space="preserve">. </w:t>
      </w:r>
    </w:p>
    <w:p w:rsidR="008C7DDB" w:rsidRPr="00F46F0F" w:rsidRDefault="008C7DDB" w:rsidP="00DA3DED">
      <w:pPr>
        <w:autoSpaceDE w:val="0"/>
        <w:autoSpaceDN w:val="0"/>
        <w:adjustRightInd w:val="0"/>
        <w:spacing w:after="0" w:line="480" w:lineRule="auto"/>
        <w:ind w:firstLine="720"/>
        <w:jc w:val="both"/>
        <w:rPr>
          <w:rFonts w:asciiTheme="majorHAnsi" w:hAnsiTheme="majorHAnsi" w:cs="Arial"/>
          <w:sz w:val="24"/>
          <w:szCs w:val="24"/>
        </w:rPr>
      </w:pPr>
      <w:r w:rsidRPr="00F46F0F">
        <w:rPr>
          <w:rFonts w:asciiTheme="majorHAnsi" w:hAnsiTheme="majorHAnsi" w:cs="Arial"/>
          <w:sz w:val="24"/>
          <w:szCs w:val="24"/>
        </w:rPr>
        <w:t>The Alberta Children’s Hospital Paediatric Gastroenterology Clinic follows approx</w:t>
      </w:r>
      <w:r w:rsidR="0096700D">
        <w:rPr>
          <w:rFonts w:asciiTheme="majorHAnsi" w:hAnsiTheme="majorHAnsi" w:cs="Arial"/>
          <w:sz w:val="24"/>
          <w:szCs w:val="24"/>
        </w:rPr>
        <w:t xml:space="preserve">imately 200 children with IBD. </w:t>
      </w:r>
      <w:r w:rsidRPr="00F46F0F">
        <w:rPr>
          <w:rFonts w:asciiTheme="majorHAnsi" w:hAnsiTheme="majorHAnsi" w:cs="Arial"/>
          <w:sz w:val="24"/>
          <w:szCs w:val="24"/>
        </w:rPr>
        <w:t>Attempt</w:t>
      </w:r>
      <w:r>
        <w:rPr>
          <w:rFonts w:asciiTheme="majorHAnsi" w:hAnsiTheme="majorHAnsi" w:cs="Arial"/>
          <w:sz w:val="24"/>
          <w:szCs w:val="24"/>
        </w:rPr>
        <w:t>s</w:t>
      </w:r>
      <w:r w:rsidRPr="00F46F0F">
        <w:rPr>
          <w:rFonts w:asciiTheme="majorHAnsi" w:hAnsiTheme="majorHAnsi" w:cs="Arial"/>
          <w:sz w:val="24"/>
          <w:szCs w:val="24"/>
        </w:rPr>
        <w:t xml:space="preserve"> to contact all of these children over the enrolment period were made by mail</w:t>
      </w:r>
      <w:r>
        <w:rPr>
          <w:rFonts w:asciiTheme="majorHAnsi" w:hAnsiTheme="majorHAnsi" w:cs="Arial"/>
          <w:sz w:val="24"/>
          <w:szCs w:val="24"/>
        </w:rPr>
        <w:t>,</w:t>
      </w:r>
      <w:r w:rsidRPr="00F46F0F">
        <w:rPr>
          <w:rFonts w:asciiTheme="majorHAnsi" w:hAnsiTheme="majorHAnsi" w:cs="Arial"/>
          <w:sz w:val="24"/>
          <w:szCs w:val="24"/>
        </w:rPr>
        <w:t xml:space="preserve"> telephone, or clinic/hospital visit.</w:t>
      </w:r>
    </w:p>
    <w:p w:rsidR="00B35D71" w:rsidRDefault="00B35D71" w:rsidP="00F30326">
      <w:pPr>
        <w:autoSpaceDE w:val="0"/>
        <w:autoSpaceDN w:val="0"/>
        <w:adjustRightInd w:val="0"/>
        <w:spacing w:after="0" w:line="480" w:lineRule="auto"/>
        <w:ind w:firstLine="720"/>
        <w:jc w:val="both"/>
        <w:rPr>
          <w:rFonts w:asciiTheme="majorHAnsi" w:hAnsiTheme="majorHAnsi" w:cs="Arial"/>
          <w:sz w:val="24"/>
          <w:szCs w:val="24"/>
        </w:rPr>
      </w:pPr>
    </w:p>
    <w:p w:rsidR="00083109" w:rsidRPr="00597E47" w:rsidRDefault="00083109" w:rsidP="004B69AE">
      <w:pPr>
        <w:autoSpaceDE w:val="0"/>
        <w:autoSpaceDN w:val="0"/>
        <w:adjustRightInd w:val="0"/>
        <w:spacing w:after="0"/>
        <w:rPr>
          <w:rFonts w:asciiTheme="minorHAnsi" w:hAnsiTheme="minorHAnsi" w:cs="Arial"/>
          <w:b/>
          <w:caps/>
          <w:spacing w:val="40"/>
          <w:sz w:val="24"/>
          <w:szCs w:val="24"/>
          <w:u w:val="single"/>
        </w:rPr>
      </w:pPr>
      <w:r w:rsidRPr="00597E47">
        <w:rPr>
          <w:rFonts w:asciiTheme="minorHAnsi" w:hAnsiTheme="minorHAnsi" w:cs="Arial"/>
          <w:b/>
          <w:caps/>
          <w:spacing w:val="40"/>
          <w:sz w:val="24"/>
          <w:szCs w:val="24"/>
          <w:u w:val="single"/>
        </w:rPr>
        <w:t>Results</w:t>
      </w:r>
    </w:p>
    <w:p w:rsidR="00597E47" w:rsidRDefault="00597E47" w:rsidP="004B69AE">
      <w:pPr>
        <w:autoSpaceDE w:val="0"/>
        <w:autoSpaceDN w:val="0"/>
        <w:adjustRightInd w:val="0"/>
        <w:spacing w:after="0"/>
        <w:rPr>
          <w:rFonts w:asciiTheme="minorHAnsi" w:hAnsiTheme="minorHAnsi" w:cs="Arial"/>
          <w:b/>
          <w:caps/>
          <w:sz w:val="24"/>
          <w:szCs w:val="24"/>
        </w:rPr>
      </w:pPr>
    </w:p>
    <w:p w:rsidR="00597E47" w:rsidRDefault="00597E47" w:rsidP="00DA3DED">
      <w:pPr>
        <w:autoSpaceDE w:val="0"/>
        <w:autoSpaceDN w:val="0"/>
        <w:adjustRightInd w:val="0"/>
        <w:spacing w:after="0" w:line="480" w:lineRule="auto"/>
        <w:rPr>
          <w:rFonts w:asciiTheme="minorHAnsi" w:hAnsiTheme="minorHAnsi" w:cs="Arial"/>
          <w:b/>
          <w:sz w:val="24"/>
          <w:szCs w:val="24"/>
        </w:rPr>
      </w:pPr>
      <w:r>
        <w:rPr>
          <w:rFonts w:asciiTheme="minorHAnsi" w:hAnsiTheme="minorHAnsi" w:cs="Arial"/>
          <w:b/>
          <w:sz w:val="24"/>
          <w:szCs w:val="24"/>
        </w:rPr>
        <w:t>Study Participants</w:t>
      </w:r>
    </w:p>
    <w:p w:rsidR="00FF55F7" w:rsidRDefault="008C7DDB" w:rsidP="00FF55F7">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lastRenderedPageBreak/>
        <w:t>There were</w:t>
      </w:r>
      <w:r w:rsidR="00347CBA">
        <w:rPr>
          <w:rFonts w:asciiTheme="majorHAnsi" w:hAnsiTheme="majorHAnsi" w:cs="Arial"/>
          <w:sz w:val="24"/>
          <w:szCs w:val="24"/>
        </w:rPr>
        <w:t xml:space="preserve"> </w:t>
      </w:r>
      <w:r w:rsidR="00347CBA" w:rsidRPr="00557641">
        <w:rPr>
          <w:rFonts w:asciiTheme="majorHAnsi" w:hAnsiTheme="majorHAnsi" w:cs="Arial"/>
          <w:sz w:val="24"/>
          <w:szCs w:val="24"/>
        </w:rPr>
        <w:t>155 patients</w:t>
      </w:r>
      <w:r>
        <w:rPr>
          <w:rFonts w:asciiTheme="majorHAnsi" w:hAnsiTheme="majorHAnsi" w:cs="Arial"/>
          <w:sz w:val="24"/>
          <w:szCs w:val="24"/>
        </w:rPr>
        <w:t xml:space="preserve"> who </w:t>
      </w:r>
      <w:r w:rsidR="00CD30C4">
        <w:rPr>
          <w:rFonts w:asciiTheme="majorHAnsi" w:hAnsiTheme="majorHAnsi" w:cs="Arial"/>
          <w:sz w:val="24"/>
          <w:szCs w:val="24"/>
        </w:rPr>
        <w:t>enrolled in the study and provided serum</w:t>
      </w:r>
      <w:r w:rsidR="00FF55F7">
        <w:rPr>
          <w:rFonts w:asciiTheme="majorHAnsi" w:hAnsiTheme="majorHAnsi" w:cs="Arial"/>
          <w:sz w:val="24"/>
          <w:szCs w:val="24"/>
        </w:rPr>
        <w:t>;</w:t>
      </w:r>
      <w:r w:rsidR="00FF55F7" w:rsidRPr="00FF55F7">
        <w:rPr>
          <w:rFonts w:asciiTheme="majorHAnsi" w:hAnsiTheme="majorHAnsi" w:cs="Arial"/>
          <w:sz w:val="24"/>
          <w:szCs w:val="24"/>
        </w:rPr>
        <w:t xml:space="preserve"> 93 </w:t>
      </w:r>
      <w:proofErr w:type="spellStart"/>
      <w:r w:rsidR="00FF55F7" w:rsidRPr="00FF55F7">
        <w:rPr>
          <w:rFonts w:asciiTheme="majorHAnsi" w:hAnsiTheme="majorHAnsi" w:cs="Arial"/>
          <w:sz w:val="24"/>
          <w:szCs w:val="24"/>
        </w:rPr>
        <w:t>Crohn’s</w:t>
      </w:r>
      <w:proofErr w:type="spellEnd"/>
      <w:r w:rsidR="00FF55F7" w:rsidRPr="00FF55F7">
        <w:rPr>
          <w:rFonts w:asciiTheme="majorHAnsi" w:hAnsiTheme="majorHAnsi" w:cs="Arial"/>
          <w:sz w:val="24"/>
          <w:szCs w:val="24"/>
        </w:rPr>
        <w:t xml:space="preserve"> disease, 46 ulcerative colitis,</w:t>
      </w:r>
      <w:r w:rsidR="00FF55F7">
        <w:rPr>
          <w:rFonts w:asciiTheme="majorHAnsi" w:hAnsiTheme="majorHAnsi" w:cs="Arial"/>
          <w:sz w:val="24"/>
          <w:szCs w:val="24"/>
        </w:rPr>
        <w:t xml:space="preserve"> and</w:t>
      </w:r>
      <w:r w:rsidR="00FF55F7" w:rsidRPr="00FF55F7">
        <w:rPr>
          <w:rFonts w:asciiTheme="majorHAnsi" w:hAnsiTheme="majorHAnsi" w:cs="Arial"/>
          <w:sz w:val="24"/>
          <w:szCs w:val="24"/>
        </w:rPr>
        <w:t xml:space="preserve"> 16</w:t>
      </w:r>
      <w:r w:rsidR="00FF55F7">
        <w:rPr>
          <w:rFonts w:asciiTheme="majorHAnsi" w:hAnsiTheme="majorHAnsi" w:cs="Arial"/>
          <w:sz w:val="24"/>
          <w:szCs w:val="24"/>
        </w:rPr>
        <w:t xml:space="preserve"> IBD-unclassified</w:t>
      </w:r>
      <w:r>
        <w:rPr>
          <w:rFonts w:asciiTheme="majorHAnsi" w:hAnsiTheme="majorHAnsi" w:cs="Arial"/>
          <w:sz w:val="24"/>
          <w:szCs w:val="24"/>
        </w:rPr>
        <w:t>.</w:t>
      </w:r>
      <w:r w:rsidR="00FF55F7">
        <w:rPr>
          <w:rFonts w:asciiTheme="majorHAnsi" w:hAnsiTheme="majorHAnsi" w:cs="Arial"/>
          <w:sz w:val="24"/>
          <w:szCs w:val="24"/>
        </w:rPr>
        <w:t xml:space="preserve"> </w:t>
      </w:r>
      <w:r w:rsidR="00FF55F7" w:rsidRPr="00FF55F7">
        <w:rPr>
          <w:rFonts w:asciiTheme="majorHAnsi" w:hAnsiTheme="majorHAnsi" w:cs="Arial"/>
          <w:sz w:val="24"/>
          <w:szCs w:val="24"/>
        </w:rPr>
        <w:t>Complete vaccine records were available for 152 of these children</w:t>
      </w:r>
      <w:r w:rsidR="00FF55F7">
        <w:rPr>
          <w:rFonts w:asciiTheme="majorHAnsi" w:hAnsiTheme="majorHAnsi" w:cs="Arial"/>
          <w:sz w:val="24"/>
          <w:szCs w:val="24"/>
        </w:rPr>
        <w:t>.</w:t>
      </w:r>
      <w:r>
        <w:rPr>
          <w:rFonts w:asciiTheme="majorHAnsi" w:hAnsiTheme="majorHAnsi" w:cs="Arial"/>
          <w:sz w:val="24"/>
          <w:szCs w:val="24"/>
        </w:rPr>
        <w:t xml:space="preserve"> </w:t>
      </w:r>
      <w:r w:rsidR="006E53AE" w:rsidRPr="00557641">
        <w:rPr>
          <w:rFonts w:asciiTheme="majorHAnsi" w:hAnsiTheme="majorHAnsi" w:cs="Arial"/>
          <w:sz w:val="24"/>
          <w:szCs w:val="24"/>
        </w:rPr>
        <w:t xml:space="preserve">The median age at enrolment was </w:t>
      </w:r>
      <w:r w:rsidR="00634243" w:rsidRPr="00557641">
        <w:rPr>
          <w:rFonts w:asciiTheme="majorHAnsi" w:hAnsiTheme="majorHAnsi" w:cs="Arial"/>
          <w:sz w:val="24"/>
          <w:szCs w:val="24"/>
        </w:rPr>
        <w:t xml:space="preserve">15.9 </w:t>
      </w:r>
      <w:r w:rsidR="006E53AE" w:rsidRPr="00557641">
        <w:rPr>
          <w:rFonts w:asciiTheme="majorHAnsi" w:hAnsiTheme="majorHAnsi" w:cs="Arial"/>
          <w:sz w:val="24"/>
          <w:szCs w:val="24"/>
        </w:rPr>
        <w:t>years</w:t>
      </w:r>
      <w:r w:rsidR="00453318">
        <w:rPr>
          <w:rFonts w:asciiTheme="majorHAnsi" w:hAnsiTheme="majorHAnsi" w:cs="Arial"/>
          <w:sz w:val="24"/>
          <w:szCs w:val="24"/>
        </w:rPr>
        <w:t xml:space="preserve"> (Table 2)</w:t>
      </w:r>
      <w:r w:rsidR="006E53AE" w:rsidRPr="00557641">
        <w:rPr>
          <w:rFonts w:asciiTheme="majorHAnsi" w:hAnsiTheme="majorHAnsi" w:cs="Arial"/>
          <w:sz w:val="24"/>
          <w:szCs w:val="24"/>
        </w:rPr>
        <w:t xml:space="preserve">. </w:t>
      </w:r>
    </w:p>
    <w:p w:rsidR="00123165" w:rsidRDefault="00123165" w:rsidP="009B7C2B">
      <w:pPr>
        <w:autoSpaceDE w:val="0"/>
        <w:autoSpaceDN w:val="0"/>
        <w:adjustRightInd w:val="0"/>
        <w:spacing w:after="0" w:line="480" w:lineRule="auto"/>
        <w:jc w:val="both"/>
        <w:rPr>
          <w:rFonts w:asciiTheme="majorHAnsi" w:hAnsiTheme="majorHAnsi" w:cs="Arial"/>
          <w:sz w:val="24"/>
          <w:szCs w:val="24"/>
        </w:rPr>
      </w:pPr>
    </w:p>
    <w:tbl>
      <w:tblPr>
        <w:tblW w:w="9618" w:type="dxa"/>
        <w:tblInd w:w="108" w:type="dxa"/>
        <w:tblLook w:val="04A0"/>
      </w:tblPr>
      <w:tblGrid>
        <w:gridCol w:w="261"/>
        <w:gridCol w:w="3301"/>
        <w:gridCol w:w="722"/>
        <w:gridCol w:w="1255"/>
        <w:gridCol w:w="261"/>
        <w:gridCol w:w="590"/>
        <w:gridCol w:w="1255"/>
        <w:gridCol w:w="261"/>
        <w:gridCol w:w="590"/>
        <w:gridCol w:w="1255"/>
      </w:tblGrid>
      <w:tr w:rsidR="009B7C2B" w:rsidRPr="009B7C2B" w:rsidTr="009B7C2B">
        <w:trPr>
          <w:trHeight w:val="330"/>
        </w:trPr>
        <w:tc>
          <w:tcPr>
            <w:tcW w:w="9618" w:type="dxa"/>
            <w:gridSpan w:val="10"/>
            <w:tcBorders>
              <w:top w:val="single" w:sz="12" w:space="0" w:color="auto"/>
              <w:left w:val="nil"/>
              <w:bottom w:val="single" w:sz="12" w:space="0" w:color="auto"/>
              <w:right w:val="nil"/>
            </w:tcBorders>
            <w:shd w:val="clear" w:color="auto" w:fill="auto"/>
            <w:noWrap/>
            <w:vAlign w:val="bottom"/>
            <w:hideMark/>
          </w:tcPr>
          <w:p w:rsidR="009B7C2B" w:rsidRPr="009B7C2B" w:rsidRDefault="009B7C2B" w:rsidP="00123165">
            <w:pPr>
              <w:spacing w:after="0" w:line="324" w:lineRule="auto"/>
              <w:rPr>
                <w:rFonts w:eastAsia="Times New Roman"/>
                <w:b/>
                <w:bCs/>
                <w:color w:val="000000"/>
                <w:sz w:val="20"/>
                <w:szCs w:val="20"/>
                <w:lang w:eastAsia="zh-TW"/>
              </w:rPr>
            </w:pPr>
            <w:r w:rsidRPr="009B7C2B">
              <w:rPr>
                <w:rFonts w:eastAsia="Times New Roman"/>
                <w:b/>
                <w:bCs/>
                <w:color w:val="000000"/>
                <w:sz w:val="20"/>
                <w:szCs w:val="20"/>
                <w:lang w:eastAsia="zh-TW"/>
              </w:rPr>
              <w:t>Table 2. Baseline Characteristics and Risk Factors</w:t>
            </w:r>
          </w:p>
        </w:tc>
      </w:tr>
      <w:tr w:rsidR="009B7C2B" w:rsidRPr="009B7C2B" w:rsidTr="009B7C2B">
        <w:trPr>
          <w:trHeight w:val="270"/>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977" w:type="dxa"/>
            <w:gridSpan w:val="2"/>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Total Cohort</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p>
        </w:tc>
        <w:tc>
          <w:tcPr>
            <w:tcW w:w="1826" w:type="dxa"/>
            <w:gridSpan w:val="2"/>
            <w:tcBorders>
              <w:top w:val="single" w:sz="12" w:space="0" w:color="auto"/>
              <w:left w:val="nil"/>
              <w:bottom w:val="nil"/>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Immunizations UTD</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w:t>
            </w:r>
          </w:p>
        </w:tc>
        <w:tc>
          <w:tcPr>
            <w:tcW w:w="1826" w:type="dxa"/>
            <w:gridSpan w:val="2"/>
            <w:tcBorders>
              <w:top w:val="single" w:sz="12" w:space="0" w:color="auto"/>
              <w:left w:val="nil"/>
              <w:bottom w:val="nil"/>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Immunizations Not UTD</w:t>
            </w:r>
          </w:p>
        </w:tc>
      </w:tr>
      <w:tr w:rsidR="009B7C2B" w:rsidRPr="009B7C2B" w:rsidTr="009B7C2B">
        <w:trPr>
          <w:trHeight w:val="255"/>
        </w:trPr>
        <w:tc>
          <w:tcPr>
            <w:tcW w:w="3531" w:type="dxa"/>
            <w:gridSpan w:val="2"/>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Characteristics</w:t>
            </w:r>
          </w:p>
        </w:tc>
        <w:tc>
          <w:tcPr>
            <w:tcW w:w="1977" w:type="dxa"/>
            <w:gridSpan w:val="2"/>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i/>
                <w:iCs/>
                <w:color w:val="000000"/>
                <w:sz w:val="20"/>
                <w:szCs w:val="20"/>
                <w:lang w:eastAsia="zh-TW"/>
              </w:rPr>
              <w:t xml:space="preserve">n </w:t>
            </w:r>
            <w:r w:rsidRPr="009B7C2B">
              <w:rPr>
                <w:rFonts w:ascii="Cambria" w:eastAsia="Times New Roman" w:hAnsi="Cambria"/>
                <w:color w:val="000000"/>
                <w:sz w:val="20"/>
                <w:szCs w:val="20"/>
                <w:lang w:eastAsia="zh-TW"/>
              </w:rPr>
              <w:t>=155</w:t>
            </w:r>
          </w:p>
        </w:tc>
        <w:tc>
          <w:tcPr>
            <w:tcW w:w="229"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w:t>
            </w:r>
          </w:p>
        </w:tc>
        <w:tc>
          <w:tcPr>
            <w:tcW w:w="1826" w:type="dxa"/>
            <w:gridSpan w:val="2"/>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i/>
                <w:iCs/>
                <w:color w:val="000000"/>
                <w:sz w:val="20"/>
                <w:szCs w:val="20"/>
                <w:lang w:eastAsia="zh-TW"/>
              </w:rPr>
              <w:t xml:space="preserve">n </w:t>
            </w:r>
            <w:r w:rsidRPr="009B7C2B">
              <w:rPr>
                <w:rFonts w:ascii="Cambria" w:eastAsia="Times New Roman" w:hAnsi="Cambria"/>
                <w:color w:val="000000"/>
                <w:sz w:val="20"/>
                <w:szCs w:val="20"/>
                <w:lang w:eastAsia="zh-TW"/>
              </w:rPr>
              <w:t>=106</w:t>
            </w:r>
          </w:p>
        </w:tc>
        <w:tc>
          <w:tcPr>
            <w:tcW w:w="229"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w:t>
            </w:r>
          </w:p>
        </w:tc>
        <w:tc>
          <w:tcPr>
            <w:tcW w:w="1826" w:type="dxa"/>
            <w:gridSpan w:val="2"/>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jc w:val="center"/>
              <w:rPr>
                <w:rFonts w:ascii="Cambria" w:eastAsia="Times New Roman" w:hAnsi="Cambria"/>
                <w:color w:val="000000"/>
                <w:sz w:val="20"/>
                <w:szCs w:val="20"/>
                <w:lang w:eastAsia="zh-TW"/>
              </w:rPr>
            </w:pPr>
            <w:r w:rsidRPr="009B7C2B">
              <w:rPr>
                <w:rFonts w:ascii="Cambria" w:eastAsia="Times New Roman" w:hAnsi="Cambria"/>
                <w:i/>
                <w:iCs/>
                <w:color w:val="000000"/>
                <w:sz w:val="20"/>
                <w:szCs w:val="20"/>
                <w:lang w:eastAsia="zh-TW"/>
              </w:rPr>
              <w:t xml:space="preserve">n </w:t>
            </w:r>
            <w:r w:rsidRPr="009B7C2B">
              <w:rPr>
                <w:rFonts w:ascii="Cambria" w:eastAsia="Times New Roman" w:hAnsi="Cambria"/>
                <w:color w:val="000000"/>
                <w:sz w:val="20"/>
                <w:szCs w:val="20"/>
                <w:lang w:eastAsia="zh-TW"/>
              </w:rPr>
              <w:t>=46</w:t>
            </w:r>
          </w:p>
        </w:tc>
      </w:tr>
      <w:tr w:rsidR="009B7C2B" w:rsidRPr="009B7C2B" w:rsidTr="009B7C2B">
        <w:trPr>
          <w:trHeight w:val="255"/>
        </w:trPr>
        <w:tc>
          <w:tcPr>
            <w:tcW w:w="5508" w:type="dxa"/>
            <w:gridSpan w:val="4"/>
            <w:tcBorders>
              <w:top w:val="single" w:sz="4" w:space="0" w:color="auto"/>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Inflammatory bowel disease type, </w:t>
            </w:r>
            <w:r w:rsidRPr="009B7C2B">
              <w:rPr>
                <w:rFonts w:ascii="Cambria" w:eastAsia="Times New Roman" w:hAnsi="Cambria"/>
                <w:i/>
                <w:iCs/>
                <w:color w:val="000000"/>
                <w:sz w:val="20"/>
                <w:szCs w:val="20"/>
                <w:lang w:eastAsia="zh-TW"/>
              </w:rPr>
              <w:t>n</w:t>
            </w:r>
            <w:r w:rsidRPr="009B7C2B">
              <w:rPr>
                <w:rFonts w:ascii="Cambria" w:eastAsia="Times New Roman" w:hAnsi="Cambria"/>
                <w:color w:val="000000"/>
                <w:sz w:val="20"/>
                <w:szCs w:val="20"/>
                <w:lang w:eastAsia="zh-TW"/>
              </w:rPr>
              <w:t xml:space="preserve"> (%)</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roofErr w:type="spellStart"/>
            <w:r w:rsidRPr="009B7C2B">
              <w:rPr>
                <w:rFonts w:ascii="Cambria" w:eastAsia="Times New Roman" w:hAnsi="Cambria"/>
                <w:color w:val="000000"/>
                <w:sz w:val="20"/>
                <w:szCs w:val="20"/>
                <w:lang w:eastAsia="zh-TW"/>
              </w:rPr>
              <w:t>Crohn's</w:t>
            </w:r>
            <w:proofErr w:type="spellEnd"/>
            <w:r w:rsidRPr="009B7C2B">
              <w:rPr>
                <w:rFonts w:ascii="Cambria" w:eastAsia="Times New Roman" w:hAnsi="Cambria"/>
                <w:color w:val="000000"/>
                <w:sz w:val="20"/>
                <w:szCs w:val="20"/>
                <w:lang w:eastAsia="zh-TW"/>
              </w:rPr>
              <w:t xml:space="preserve"> disease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(60.0%)</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65</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(61.3%)</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(56.5%)</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Ulcerative colitis</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(29.7%)</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(29.2%)</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14</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(30.4%)</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Indeterminate colitis</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(10.3%)</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(9.4%)</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(13.0%)</w:t>
            </w:r>
          </w:p>
        </w:tc>
      </w:tr>
      <w:tr w:rsidR="009B7C2B" w:rsidRPr="009B7C2B" w:rsidTr="009B7C2B">
        <w:trPr>
          <w:trHeight w:val="255"/>
        </w:trPr>
        <w:tc>
          <w:tcPr>
            <w:tcW w:w="5508" w:type="dxa"/>
            <w:gridSpan w:val="4"/>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Sex, </w:t>
            </w:r>
            <w:r w:rsidRPr="009B7C2B">
              <w:rPr>
                <w:rFonts w:ascii="Cambria" w:eastAsia="Times New Roman" w:hAnsi="Cambria"/>
                <w:i/>
                <w:iCs/>
                <w:color w:val="000000"/>
                <w:sz w:val="20"/>
                <w:szCs w:val="20"/>
                <w:lang w:eastAsia="zh-TW"/>
              </w:rPr>
              <w:t>n</w:t>
            </w:r>
            <w:r w:rsidRPr="009B7C2B">
              <w:rPr>
                <w:rFonts w:ascii="Cambria" w:eastAsia="Times New Roman" w:hAnsi="Cambria"/>
                <w:color w:val="000000"/>
                <w:sz w:val="20"/>
                <w:szCs w:val="20"/>
                <w:lang w:eastAsia="zh-TW"/>
              </w:rPr>
              <w:t xml:space="preserve"> (%)</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Male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(53.5%)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(52.8%)</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(56.5%)</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Female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72</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(46.5%)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(47.2%)</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(43.5%)</w:t>
            </w:r>
          </w:p>
        </w:tc>
      </w:tr>
      <w:tr w:rsidR="009B7C2B" w:rsidRPr="009B7C2B" w:rsidTr="009B7C2B">
        <w:trPr>
          <w:trHeight w:val="255"/>
        </w:trPr>
        <w:tc>
          <w:tcPr>
            <w:tcW w:w="3531" w:type="dxa"/>
            <w:gridSpan w:val="2"/>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Median diagnosis age in years (Q1, Q3)</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12.1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(9.0, 14.5)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12.6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(9.5, 14.6)</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10.5</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(7.2, 13.8)</w:t>
            </w:r>
          </w:p>
        </w:tc>
      </w:tr>
      <w:tr w:rsidR="009B7C2B" w:rsidRPr="009B7C2B" w:rsidTr="009B7C2B">
        <w:trPr>
          <w:trHeight w:val="270"/>
        </w:trPr>
        <w:tc>
          <w:tcPr>
            <w:tcW w:w="3531" w:type="dxa"/>
            <w:gridSpan w:val="2"/>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Median current age in years (Q1, Q3)</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15.9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(12.8, 17.6)</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16.3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(13.7, 17.7)</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14</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(11.5, 16.9)</w:t>
            </w:r>
          </w:p>
        </w:tc>
      </w:tr>
      <w:tr w:rsidR="009B7C2B" w:rsidRPr="009B7C2B" w:rsidTr="009B7C2B">
        <w:trPr>
          <w:trHeight w:val="255"/>
        </w:trPr>
        <w:tc>
          <w:tcPr>
            <w:tcW w:w="5508" w:type="dxa"/>
            <w:gridSpan w:val="4"/>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Medically Immunocompromised, </w:t>
            </w:r>
            <w:r w:rsidRPr="009B7C2B">
              <w:rPr>
                <w:rFonts w:ascii="Cambria" w:eastAsia="Times New Roman" w:hAnsi="Cambria"/>
                <w:i/>
                <w:iCs/>
                <w:color w:val="000000"/>
                <w:sz w:val="20"/>
                <w:szCs w:val="20"/>
                <w:lang w:eastAsia="zh-TW"/>
              </w:rPr>
              <w:t>n</w:t>
            </w:r>
            <w:r w:rsidRPr="009B7C2B">
              <w:rPr>
                <w:rFonts w:ascii="Cambria" w:eastAsia="Times New Roman" w:hAnsi="Cambria"/>
                <w:color w:val="000000"/>
                <w:sz w:val="20"/>
                <w:szCs w:val="20"/>
                <w:lang w:eastAsia="zh-TW"/>
              </w:rPr>
              <w:t xml:space="preserve"> (%)</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Any  immunosuppressant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123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(79.4%)</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(76.4%)</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(84.8%)</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Current immunosuppressant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(60.0%)</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(57.5%)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(65.2%)</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Any corticosteroid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105</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(67.7%)</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(66.0%)</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32</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(69.6%)</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Current corticosteroid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(12.9%)</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(12.3%)</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(10.9%)</w:t>
            </w:r>
          </w:p>
        </w:tc>
      </w:tr>
      <w:tr w:rsidR="009B7C2B" w:rsidRPr="009B7C2B" w:rsidTr="009B7C2B">
        <w:trPr>
          <w:trHeight w:val="31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Any </w:t>
            </w:r>
            <w:proofErr w:type="spellStart"/>
            <w:r w:rsidRPr="009B7C2B">
              <w:rPr>
                <w:rFonts w:ascii="Cambria" w:eastAsia="Times New Roman" w:hAnsi="Cambria"/>
                <w:color w:val="000000"/>
                <w:sz w:val="20"/>
                <w:szCs w:val="20"/>
                <w:lang w:eastAsia="zh-TW"/>
              </w:rPr>
              <w:t>immunomodulator</w:t>
            </w:r>
            <w:proofErr w:type="spellEnd"/>
            <w:r w:rsidRPr="009B7C2B">
              <w:rPr>
                <w:rFonts w:ascii="Cambria" w:eastAsia="Times New Roman" w:hAnsi="Cambria"/>
                <w:color w:val="000000"/>
                <w:sz w:val="20"/>
                <w:szCs w:val="20"/>
                <w:lang w:eastAsia="zh-TW"/>
              </w:rPr>
              <w:t xml:space="preserve">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98</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(63.2%)</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67</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(63.2%)</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(67.4%)</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Current </w:t>
            </w:r>
            <w:proofErr w:type="spellStart"/>
            <w:r w:rsidRPr="009B7C2B">
              <w:rPr>
                <w:rFonts w:ascii="Cambria" w:eastAsia="Times New Roman" w:hAnsi="Cambria"/>
                <w:color w:val="000000"/>
                <w:sz w:val="20"/>
                <w:szCs w:val="20"/>
                <w:lang w:eastAsia="zh-TW"/>
              </w:rPr>
              <w:t>immunomodulator</w:t>
            </w:r>
            <w:proofErr w:type="spellEnd"/>
            <w:r w:rsidRPr="009B7C2B">
              <w:rPr>
                <w:rFonts w:ascii="Cambria" w:eastAsia="Times New Roman" w:hAnsi="Cambria"/>
                <w:color w:val="000000"/>
                <w:sz w:val="20"/>
                <w:szCs w:val="20"/>
                <w:lang w:eastAsia="zh-TW"/>
              </w:rPr>
              <w:t xml:space="preserve">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(45.2%)</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47</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(44.3%)</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(50.0%)</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Any biologics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(38.1%)</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37</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(34.9%)</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(43.5%)</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Current biologics use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48</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(31.0%)</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(28.3%)</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(34.8%)</w:t>
            </w:r>
          </w:p>
        </w:tc>
      </w:tr>
      <w:tr w:rsidR="009B7C2B" w:rsidRPr="009B7C2B" w:rsidTr="009B7C2B">
        <w:trPr>
          <w:trHeight w:val="255"/>
        </w:trPr>
        <w:tc>
          <w:tcPr>
            <w:tcW w:w="5508" w:type="dxa"/>
            <w:gridSpan w:val="4"/>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Chicken pox risk factors, </w:t>
            </w:r>
            <w:r w:rsidRPr="009B7C2B">
              <w:rPr>
                <w:rFonts w:ascii="Cambria" w:eastAsia="Times New Roman" w:hAnsi="Cambria"/>
                <w:i/>
                <w:iCs/>
                <w:color w:val="000000"/>
                <w:sz w:val="20"/>
                <w:szCs w:val="20"/>
                <w:lang w:eastAsia="zh-TW"/>
              </w:rPr>
              <w:t>n</w:t>
            </w:r>
            <w:r w:rsidRPr="009B7C2B">
              <w:rPr>
                <w:rFonts w:ascii="Cambria" w:eastAsia="Times New Roman" w:hAnsi="Cambria"/>
                <w:color w:val="000000"/>
                <w:sz w:val="20"/>
                <w:szCs w:val="20"/>
                <w:lang w:eastAsia="zh-TW"/>
              </w:rPr>
              <w:t xml:space="preserve"> (%)</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Previously infected</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87</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(56.1%)</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62</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(58.5%)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(50.0%)</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Vaccinated</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62</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(40.0%)</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42</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(39.6%)</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18</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(39.1%)</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No vaccinations/infection</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(4.7%)</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(10.9%)</w:t>
            </w:r>
          </w:p>
        </w:tc>
      </w:tr>
      <w:tr w:rsidR="009B7C2B" w:rsidRPr="009B7C2B" w:rsidTr="009B7C2B">
        <w:trPr>
          <w:trHeight w:val="255"/>
        </w:trPr>
        <w:tc>
          <w:tcPr>
            <w:tcW w:w="5508" w:type="dxa"/>
            <w:gridSpan w:val="4"/>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Hepatitis B risk factors, </w:t>
            </w:r>
            <w:r w:rsidRPr="009B7C2B">
              <w:rPr>
                <w:rFonts w:ascii="Cambria" w:eastAsia="Times New Roman" w:hAnsi="Cambria"/>
                <w:i/>
                <w:iCs/>
                <w:color w:val="000000"/>
                <w:sz w:val="20"/>
                <w:szCs w:val="20"/>
                <w:lang w:eastAsia="zh-TW"/>
              </w:rPr>
              <w:t>n</w:t>
            </w:r>
            <w:r w:rsidRPr="009B7C2B">
              <w:rPr>
                <w:rFonts w:ascii="Cambria" w:eastAsia="Times New Roman" w:hAnsi="Cambria"/>
                <w:color w:val="000000"/>
                <w:sz w:val="20"/>
                <w:szCs w:val="20"/>
                <w:lang w:eastAsia="zh-TW"/>
              </w:rPr>
              <w:t xml:space="preserve"> (%)</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Caucasian</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107</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(69.0%)</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74</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(69.8%)</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(67.4%)</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Born in Canada</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140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(90.3%)</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(94.3%)</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(84.8%)</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Jaundice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(19.4%)</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(18.9%)</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(21.7%)</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Liver disease</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7</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6</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(5.7%)</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(2.2%)</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Travel outside Canada</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131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(84.5%)</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(84.9%)</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(84.8%)</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Household exposure to Hep B</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(1.9%)</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(2.8%)</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0</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Blood transfusion</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22</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(14.2%)</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(10.4%)</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(19.6%)</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Needle stick injury</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(0.6%)</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0</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(2.2%)</w:t>
            </w:r>
          </w:p>
        </w:tc>
      </w:tr>
      <w:tr w:rsidR="009B7C2B" w:rsidRPr="009B7C2B" w:rsidTr="009B7C2B">
        <w:trPr>
          <w:trHeight w:val="255"/>
        </w:trPr>
        <w:tc>
          <w:tcPr>
            <w:tcW w:w="230"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330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Body piercings</w:t>
            </w:r>
          </w:p>
        </w:tc>
        <w:tc>
          <w:tcPr>
            <w:tcW w:w="722"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49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(31.6%)</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39</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(36.8%)</w:t>
            </w:r>
          </w:p>
        </w:tc>
        <w:tc>
          <w:tcPr>
            <w:tcW w:w="229"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p>
        </w:tc>
        <w:tc>
          <w:tcPr>
            <w:tcW w:w="571"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10</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(21.7%)</w:t>
            </w:r>
          </w:p>
        </w:tc>
      </w:tr>
      <w:tr w:rsidR="009B7C2B" w:rsidRPr="009B7C2B" w:rsidTr="009B7C2B">
        <w:trPr>
          <w:trHeight w:val="255"/>
        </w:trPr>
        <w:tc>
          <w:tcPr>
            <w:tcW w:w="230"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w:t>
            </w:r>
          </w:p>
        </w:tc>
        <w:tc>
          <w:tcPr>
            <w:tcW w:w="3301"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Tattoos</w:t>
            </w:r>
          </w:p>
        </w:tc>
        <w:tc>
          <w:tcPr>
            <w:tcW w:w="722"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w:t>
            </w:r>
          </w:p>
        </w:tc>
        <w:tc>
          <w:tcPr>
            <w:tcW w:w="1255"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(1.9%)</w:t>
            </w:r>
          </w:p>
        </w:tc>
        <w:tc>
          <w:tcPr>
            <w:tcW w:w="229"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w:t>
            </w:r>
          </w:p>
        </w:tc>
        <w:tc>
          <w:tcPr>
            <w:tcW w:w="571"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jc w:val="right"/>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3</w:t>
            </w:r>
          </w:p>
        </w:tc>
        <w:tc>
          <w:tcPr>
            <w:tcW w:w="1255"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(2.8%)</w:t>
            </w:r>
          </w:p>
        </w:tc>
        <w:tc>
          <w:tcPr>
            <w:tcW w:w="229"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w:t>
            </w:r>
          </w:p>
        </w:tc>
        <w:tc>
          <w:tcPr>
            <w:tcW w:w="571" w:type="dxa"/>
            <w:tcBorders>
              <w:top w:val="nil"/>
              <w:left w:val="nil"/>
              <w:bottom w:val="single" w:sz="4" w:space="0" w:color="auto"/>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w:t>
            </w:r>
          </w:p>
        </w:tc>
        <w:tc>
          <w:tcPr>
            <w:tcW w:w="1255" w:type="dxa"/>
            <w:tcBorders>
              <w:top w:val="nil"/>
              <w:left w:val="nil"/>
              <w:bottom w:val="nil"/>
              <w:right w:val="nil"/>
            </w:tcBorders>
            <w:shd w:val="clear" w:color="auto" w:fill="auto"/>
            <w:noWrap/>
            <w:vAlign w:val="bottom"/>
            <w:hideMark/>
          </w:tcPr>
          <w:p w:rsidR="009B7C2B" w:rsidRPr="009B7C2B" w:rsidRDefault="009B7C2B" w:rsidP="00123165">
            <w:pPr>
              <w:spacing w:after="0" w:line="324" w:lineRule="auto"/>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0</w:t>
            </w:r>
          </w:p>
        </w:tc>
      </w:tr>
      <w:tr w:rsidR="009B7C2B" w:rsidRPr="009B7C2B" w:rsidTr="009B7C2B">
        <w:trPr>
          <w:trHeight w:val="270"/>
        </w:trPr>
        <w:tc>
          <w:tcPr>
            <w:tcW w:w="9618" w:type="dxa"/>
            <w:gridSpan w:val="10"/>
            <w:tcBorders>
              <w:top w:val="single" w:sz="4" w:space="0" w:color="auto"/>
              <w:left w:val="nil"/>
              <w:bottom w:val="single" w:sz="8" w:space="0" w:color="auto"/>
              <w:right w:val="nil"/>
            </w:tcBorders>
            <w:shd w:val="clear" w:color="auto" w:fill="auto"/>
            <w:noWrap/>
            <w:vAlign w:val="bottom"/>
            <w:hideMark/>
          </w:tcPr>
          <w:p w:rsidR="009B7C2B" w:rsidRPr="009B7C2B" w:rsidRDefault="009B7C2B" w:rsidP="00FA2B1D">
            <w:pPr>
              <w:spacing w:after="0" w:line="324" w:lineRule="auto"/>
              <w:jc w:val="both"/>
              <w:rPr>
                <w:rFonts w:ascii="Cambria" w:eastAsia="Times New Roman" w:hAnsi="Cambria"/>
                <w:color w:val="000000"/>
                <w:sz w:val="20"/>
                <w:szCs w:val="20"/>
                <w:lang w:eastAsia="zh-TW"/>
              </w:rPr>
            </w:pPr>
            <w:r w:rsidRPr="009B7C2B">
              <w:rPr>
                <w:rFonts w:ascii="Cambria" w:eastAsia="Times New Roman" w:hAnsi="Cambria"/>
                <w:color w:val="000000"/>
                <w:sz w:val="20"/>
                <w:szCs w:val="20"/>
                <w:lang w:eastAsia="zh-TW"/>
              </w:rPr>
              <w:t xml:space="preserve">UTD, up to date; standard immunizations: measles, mumps, and rubella vaccine, diphtheria, tetanus, </w:t>
            </w:r>
            <w:proofErr w:type="spellStart"/>
            <w:r w:rsidRPr="009B7C2B">
              <w:rPr>
                <w:rFonts w:ascii="Cambria" w:eastAsia="Times New Roman" w:hAnsi="Cambria"/>
                <w:color w:val="000000"/>
                <w:sz w:val="20"/>
                <w:szCs w:val="20"/>
                <w:lang w:eastAsia="zh-TW"/>
              </w:rPr>
              <w:t>acellular</w:t>
            </w:r>
            <w:proofErr w:type="spellEnd"/>
            <w:r w:rsidRPr="009B7C2B">
              <w:rPr>
                <w:rFonts w:ascii="Cambria" w:eastAsia="Times New Roman" w:hAnsi="Cambria"/>
                <w:color w:val="000000"/>
                <w:sz w:val="20"/>
                <w:szCs w:val="20"/>
                <w:lang w:eastAsia="zh-TW"/>
              </w:rPr>
              <w:t xml:space="preserve"> </w:t>
            </w:r>
            <w:proofErr w:type="spellStart"/>
            <w:r w:rsidRPr="009B7C2B">
              <w:rPr>
                <w:rFonts w:ascii="Cambria" w:eastAsia="Times New Roman" w:hAnsi="Cambria"/>
                <w:color w:val="000000"/>
                <w:sz w:val="20"/>
                <w:szCs w:val="20"/>
                <w:lang w:eastAsia="zh-TW"/>
              </w:rPr>
              <w:t>pertussis</w:t>
            </w:r>
            <w:proofErr w:type="spellEnd"/>
            <w:r w:rsidRPr="009B7C2B">
              <w:rPr>
                <w:rFonts w:ascii="Cambria" w:eastAsia="Times New Roman" w:hAnsi="Cambria"/>
                <w:color w:val="000000"/>
                <w:sz w:val="20"/>
                <w:szCs w:val="20"/>
                <w:lang w:eastAsia="zh-TW"/>
              </w:rPr>
              <w:t>, inactivated polio virus vaccine, and</w:t>
            </w:r>
            <w:r w:rsidR="008C3CC7">
              <w:rPr>
                <w:rFonts w:ascii="Cambria" w:eastAsia="Times New Roman" w:hAnsi="Cambria"/>
                <w:color w:val="000000"/>
                <w:sz w:val="20"/>
                <w:szCs w:val="20"/>
                <w:lang w:eastAsia="zh-TW"/>
              </w:rPr>
              <w:t xml:space="preserve"> </w:t>
            </w:r>
            <w:proofErr w:type="spellStart"/>
            <w:r w:rsidRPr="009B7C2B">
              <w:rPr>
                <w:rFonts w:ascii="Cambria" w:eastAsia="Times New Roman" w:hAnsi="Cambria"/>
                <w:i/>
                <w:iCs/>
                <w:color w:val="000000"/>
                <w:sz w:val="20"/>
                <w:szCs w:val="20"/>
                <w:lang w:eastAsia="zh-TW"/>
              </w:rPr>
              <w:t>Haemophilus</w:t>
            </w:r>
            <w:proofErr w:type="spellEnd"/>
            <w:r w:rsidRPr="009B7C2B">
              <w:rPr>
                <w:rFonts w:ascii="Cambria" w:eastAsia="Times New Roman" w:hAnsi="Cambria"/>
                <w:i/>
                <w:iCs/>
                <w:color w:val="000000"/>
                <w:sz w:val="20"/>
                <w:szCs w:val="20"/>
                <w:lang w:eastAsia="zh-TW"/>
              </w:rPr>
              <w:t xml:space="preserve"> </w:t>
            </w:r>
            <w:proofErr w:type="spellStart"/>
            <w:r w:rsidRPr="009B7C2B">
              <w:rPr>
                <w:rFonts w:ascii="Cambria" w:eastAsia="Times New Roman" w:hAnsi="Cambria"/>
                <w:i/>
                <w:iCs/>
                <w:color w:val="000000"/>
                <w:sz w:val="20"/>
                <w:szCs w:val="20"/>
                <w:lang w:eastAsia="zh-TW"/>
              </w:rPr>
              <w:t>influenzae</w:t>
            </w:r>
            <w:proofErr w:type="spellEnd"/>
            <w:r w:rsidRPr="009B7C2B">
              <w:rPr>
                <w:rFonts w:ascii="Cambria" w:eastAsia="Times New Roman" w:hAnsi="Cambria"/>
                <w:color w:val="000000"/>
                <w:sz w:val="20"/>
                <w:szCs w:val="20"/>
                <w:lang w:eastAsia="zh-TW"/>
              </w:rPr>
              <w:t xml:space="preserve"> type b conjugate vaccine; Q1, first quartile; Q3, third quartile; 3 participants did not have valid documentation of immunization records</w:t>
            </w:r>
          </w:p>
        </w:tc>
      </w:tr>
    </w:tbl>
    <w:p w:rsidR="00FA2B1D" w:rsidRDefault="00FA2B1D" w:rsidP="00DA3DED">
      <w:pPr>
        <w:autoSpaceDE w:val="0"/>
        <w:autoSpaceDN w:val="0"/>
        <w:adjustRightInd w:val="0"/>
        <w:spacing w:after="0" w:line="480" w:lineRule="auto"/>
        <w:rPr>
          <w:rFonts w:asciiTheme="minorHAnsi" w:hAnsiTheme="minorHAnsi" w:cs="Arial"/>
          <w:b/>
          <w:sz w:val="24"/>
          <w:szCs w:val="24"/>
        </w:rPr>
      </w:pPr>
    </w:p>
    <w:p w:rsidR="008C7DDB" w:rsidRPr="00B63C0C" w:rsidRDefault="00B63C0C" w:rsidP="00DA3DED">
      <w:pPr>
        <w:autoSpaceDE w:val="0"/>
        <w:autoSpaceDN w:val="0"/>
        <w:adjustRightInd w:val="0"/>
        <w:spacing w:after="0" w:line="480" w:lineRule="auto"/>
        <w:rPr>
          <w:rFonts w:asciiTheme="minorHAnsi" w:hAnsiTheme="minorHAnsi" w:cs="Arial"/>
          <w:b/>
          <w:sz w:val="24"/>
          <w:szCs w:val="24"/>
        </w:rPr>
      </w:pPr>
      <w:r>
        <w:rPr>
          <w:rFonts w:asciiTheme="minorHAnsi" w:hAnsiTheme="minorHAnsi" w:cs="Arial"/>
          <w:b/>
          <w:sz w:val="24"/>
          <w:szCs w:val="24"/>
        </w:rPr>
        <w:t>Immunosuppressive Medication U</w:t>
      </w:r>
      <w:r w:rsidR="008C7DDB" w:rsidRPr="00B63C0C">
        <w:rPr>
          <w:rFonts w:asciiTheme="minorHAnsi" w:hAnsiTheme="minorHAnsi" w:cs="Arial"/>
          <w:b/>
          <w:sz w:val="24"/>
          <w:szCs w:val="24"/>
        </w:rPr>
        <w:t>se</w:t>
      </w:r>
    </w:p>
    <w:p w:rsidR="008C7DDB" w:rsidRDefault="008C7DDB" w:rsidP="00DA3DED">
      <w:pPr>
        <w:autoSpaceDE w:val="0"/>
        <w:autoSpaceDN w:val="0"/>
        <w:adjustRightInd w:val="0"/>
        <w:spacing w:after="0" w:line="480" w:lineRule="auto"/>
        <w:ind w:firstLine="720"/>
        <w:jc w:val="both"/>
        <w:rPr>
          <w:rFonts w:asciiTheme="majorHAnsi" w:hAnsiTheme="majorHAnsi" w:cs="Arial"/>
          <w:sz w:val="24"/>
          <w:szCs w:val="24"/>
        </w:rPr>
      </w:pPr>
      <w:r w:rsidRPr="00557641">
        <w:rPr>
          <w:rFonts w:asciiTheme="majorHAnsi" w:hAnsiTheme="majorHAnsi" w:cs="Arial"/>
          <w:sz w:val="24"/>
          <w:szCs w:val="24"/>
        </w:rPr>
        <w:t>At enrolment,</w:t>
      </w:r>
      <w:r w:rsidRPr="00770026">
        <w:rPr>
          <w:rFonts w:asciiTheme="majorHAnsi" w:hAnsiTheme="majorHAnsi" w:cs="Arial"/>
          <w:sz w:val="24"/>
          <w:szCs w:val="24"/>
        </w:rPr>
        <w:t xml:space="preserve"> </w:t>
      </w:r>
      <w:r w:rsidRPr="00557641">
        <w:rPr>
          <w:rFonts w:asciiTheme="majorHAnsi" w:hAnsiTheme="majorHAnsi" w:cs="Arial"/>
          <w:sz w:val="24"/>
          <w:szCs w:val="24"/>
        </w:rPr>
        <w:t>93 participants (60</w:t>
      </w:r>
      <w:r w:rsidR="00857E61">
        <w:rPr>
          <w:rFonts w:asciiTheme="majorHAnsi" w:hAnsiTheme="majorHAnsi" w:cs="Arial"/>
          <w:sz w:val="24"/>
          <w:szCs w:val="24"/>
        </w:rPr>
        <w:t>.0</w:t>
      </w:r>
      <w:r w:rsidRPr="00557641">
        <w:rPr>
          <w:rFonts w:asciiTheme="majorHAnsi" w:hAnsiTheme="majorHAnsi" w:cs="Arial"/>
          <w:sz w:val="24"/>
          <w:szCs w:val="24"/>
        </w:rPr>
        <w:t>%) were on immunosuppressive therapy: 20 on systemic corticosteroids (15 on prednisone, 2 on methylpredn</w:t>
      </w:r>
      <w:r w:rsidR="009B7C2B">
        <w:rPr>
          <w:rFonts w:asciiTheme="majorHAnsi" w:hAnsiTheme="majorHAnsi" w:cs="Arial"/>
          <w:sz w:val="24"/>
          <w:szCs w:val="24"/>
        </w:rPr>
        <w:t xml:space="preserve">isolone, and 3 on </w:t>
      </w:r>
      <w:proofErr w:type="spellStart"/>
      <w:r w:rsidR="009B7C2B">
        <w:rPr>
          <w:rFonts w:asciiTheme="majorHAnsi" w:hAnsiTheme="majorHAnsi" w:cs="Arial"/>
          <w:sz w:val="24"/>
          <w:szCs w:val="24"/>
        </w:rPr>
        <w:t>budesonide</w:t>
      </w:r>
      <w:proofErr w:type="spellEnd"/>
      <w:r w:rsidR="009B7C2B">
        <w:rPr>
          <w:rFonts w:asciiTheme="majorHAnsi" w:hAnsiTheme="majorHAnsi" w:cs="Arial"/>
          <w:sz w:val="24"/>
          <w:szCs w:val="24"/>
        </w:rPr>
        <w:t>); 70</w:t>
      </w:r>
      <w:r w:rsidRPr="00557641">
        <w:rPr>
          <w:rFonts w:asciiTheme="majorHAnsi" w:hAnsiTheme="majorHAnsi" w:cs="Arial"/>
          <w:sz w:val="24"/>
          <w:szCs w:val="24"/>
        </w:rPr>
        <w:t xml:space="preserve"> on immun</w:t>
      </w:r>
      <w:r w:rsidR="009B7C2B">
        <w:rPr>
          <w:rFonts w:asciiTheme="majorHAnsi" w:hAnsiTheme="majorHAnsi" w:cs="Arial"/>
          <w:sz w:val="24"/>
          <w:szCs w:val="24"/>
        </w:rPr>
        <w:t xml:space="preserve">omodulators (41 on </w:t>
      </w:r>
      <w:proofErr w:type="spellStart"/>
      <w:r w:rsidR="009B7C2B">
        <w:rPr>
          <w:rFonts w:asciiTheme="majorHAnsi" w:hAnsiTheme="majorHAnsi" w:cs="Arial"/>
          <w:sz w:val="24"/>
          <w:szCs w:val="24"/>
        </w:rPr>
        <w:t>azathioprine</w:t>
      </w:r>
      <w:proofErr w:type="spellEnd"/>
      <w:r w:rsidR="009B7C2B">
        <w:rPr>
          <w:rFonts w:asciiTheme="majorHAnsi" w:hAnsiTheme="majorHAnsi" w:cs="Arial"/>
          <w:sz w:val="24"/>
          <w:szCs w:val="24"/>
        </w:rPr>
        <w:t xml:space="preserve">, </w:t>
      </w:r>
      <w:r w:rsidRPr="00557641">
        <w:rPr>
          <w:rFonts w:asciiTheme="majorHAnsi" w:hAnsiTheme="majorHAnsi" w:cs="Arial"/>
          <w:sz w:val="24"/>
          <w:szCs w:val="24"/>
        </w:rPr>
        <w:t xml:space="preserve">28 on </w:t>
      </w:r>
      <w:proofErr w:type="spellStart"/>
      <w:r w:rsidRPr="00557641">
        <w:rPr>
          <w:rFonts w:asciiTheme="majorHAnsi" w:hAnsiTheme="majorHAnsi" w:cs="Arial"/>
          <w:sz w:val="24"/>
          <w:szCs w:val="24"/>
        </w:rPr>
        <w:t>methotrexate</w:t>
      </w:r>
      <w:proofErr w:type="spellEnd"/>
      <w:r w:rsidR="009B7C2B">
        <w:rPr>
          <w:rFonts w:asciiTheme="majorHAnsi" w:hAnsiTheme="majorHAnsi" w:cs="Arial"/>
          <w:sz w:val="24"/>
          <w:szCs w:val="24"/>
        </w:rPr>
        <w:t xml:space="preserve"> and 1 on thalidomide); and 48</w:t>
      </w:r>
      <w:r w:rsidRPr="00557641">
        <w:rPr>
          <w:rFonts w:asciiTheme="majorHAnsi" w:hAnsiTheme="majorHAnsi" w:cs="Arial"/>
          <w:sz w:val="24"/>
          <w:szCs w:val="24"/>
        </w:rPr>
        <w:t xml:space="preserve"> on biologics therapy</w:t>
      </w:r>
      <w:r w:rsidR="009B7C2B">
        <w:rPr>
          <w:rFonts w:asciiTheme="majorHAnsi" w:hAnsiTheme="majorHAnsi" w:cs="Arial"/>
          <w:sz w:val="24"/>
          <w:szCs w:val="24"/>
        </w:rPr>
        <w:t xml:space="preserve"> (45 on infliximab and</w:t>
      </w:r>
      <w:r w:rsidRPr="00557641">
        <w:rPr>
          <w:rFonts w:asciiTheme="majorHAnsi" w:hAnsiTheme="majorHAnsi" w:cs="Arial"/>
          <w:sz w:val="24"/>
          <w:szCs w:val="24"/>
        </w:rPr>
        <w:t xml:space="preserve"> 3 on </w:t>
      </w:r>
      <w:proofErr w:type="spellStart"/>
      <w:r w:rsidRPr="00557641">
        <w:rPr>
          <w:rFonts w:asciiTheme="majorHAnsi" w:hAnsiTheme="majorHAnsi" w:cs="Arial"/>
          <w:sz w:val="24"/>
          <w:szCs w:val="24"/>
        </w:rPr>
        <w:t>adalimumab</w:t>
      </w:r>
      <w:proofErr w:type="spellEnd"/>
      <w:r w:rsidRPr="00557641">
        <w:rPr>
          <w:rFonts w:asciiTheme="majorHAnsi" w:hAnsiTheme="majorHAnsi" w:cs="Arial"/>
          <w:sz w:val="24"/>
          <w:szCs w:val="24"/>
        </w:rPr>
        <w:t xml:space="preserve">). Of these patients on </w:t>
      </w:r>
      <w:r w:rsidR="00CD30C4" w:rsidRPr="00557641">
        <w:rPr>
          <w:rFonts w:asciiTheme="majorHAnsi" w:hAnsiTheme="majorHAnsi" w:cs="Arial"/>
          <w:sz w:val="24"/>
          <w:szCs w:val="24"/>
        </w:rPr>
        <w:t>immunosuppressive therapy</w:t>
      </w:r>
      <w:r w:rsidRPr="00557641">
        <w:rPr>
          <w:rFonts w:asciiTheme="majorHAnsi" w:hAnsiTheme="majorHAnsi" w:cs="Arial"/>
          <w:sz w:val="24"/>
          <w:szCs w:val="24"/>
        </w:rPr>
        <w:t>,</w:t>
      </w:r>
      <w:r>
        <w:rPr>
          <w:rFonts w:asciiTheme="majorHAnsi" w:hAnsiTheme="majorHAnsi" w:cs="Arial"/>
          <w:sz w:val="24"/>
          <w:szCs w:val="24"/>
        </w:rPr>
        <w:t xml:space="preserve"> 41 participants (44</w:t>
      </w:r>
      <w:r w:rsidR="00857E61">
        <w:rPr>
          <w:rFonts w:asciiTheme="majorHAnsi" w:hAnsiTheme="majorHAnsi" w:cs="Arial"/>
          <w:sz w:val="24"/>
          <w:szCs w:val="24"/>
        </w:rPr>
        <w:t>.1</w:t>
      </w:r>
      <w:r>
        <w:rPr>
          <w:rFonts w:asciiTheme="majorHAnsi" w:hAnsiTheme="majorHAnsi" w:cs="Arial"/>
          <w:sz w:val="24"/>
          <w:szCs w:val="24"/>
        </w:rPr>
        <w:t xml:space="preserve">%) were on </w:t>
      </w:r>
      <w:r w:rsidR="00CD30C4">
        <w:rPr>
          <w:rFonts w:asciiTheme="majorHAnsi" w:hAnsiTheme="majorHAnsi" w:cs="Arial"/>
          <w:sz w:val="24"/>
          <w:szCs w:val="24"/>
        </w:rPr>
        <w:t>combination therapy</w:t>
      </w:r>
      <w:r>
        <w:rPr>
          <w:rFonts w:asciiTheme="majorHAnsi" w:hAnsiTheme="majorHAnsi" w:cs="Arial"/>
          <w:sz w:val="24"/>
          <w:szCs w:val="24"/>
        </w:rPr>
        <w:t>: 9</w:t>
      </w:r>
      <w:r w:rsidRPr="00557641">
        <w:rPr>
          <w:rFonts w:asciiTheme="majorHAnsi" w:hAnsiTheme="majorHAnsi" w:cs="Arial"/>
          <w:sz w:val="24"/>
          <w:szCs w:val="24"/>
        </w:rPr>
        <w:t xml:space="preserve"> on corti</w:t>
      </w:r>
      <w:r>
        <w:rPr>
          <w:rFonts w:asciiTheme="majorHAnsi" w:hAnsiTheme="majorHAnsi" w:cs="Arial"/>
          <w:sz w:val="24"/>
          <w:szCs w:val="24"/>
        </w:rPr>
        <w:t>costeroids and immunomodulators;</w:t>
      </w:r>
      <w:r w:rsidRPr="00557641">
        <w:rPr>
          <w:rFonts w:asciiTheme="majorHAnsi" w:hAnsiTheme="majorHAnsi" w:cs="Arial"/>
          <w:sz w:val="24"/>
          <w:szCs w:val="24"/>
        </w:rPr>
        <w:t xml:space="preserve"> </w:t>
      </w:r>
      <w:r>
        <w:rPr>
          <w:rFonts w:asciiTheme="majorHAnsi" w:hAnsiTheme="majorHAnsi" w:cs="Arial"/>
          <w:sz w:val="24"/>
          <w:szCs w:val="24"/>
        </w:rPr>
        <w:t>2</w:t>
      </w:r>
      <w:r w:rsidRPr="00557641">
        <w:rPr>
          <w:rFonts w:asciiTheme="majorHAnsi" w:hAnsiTheme="majorHAnsi" w:cs="Arial"/>
          <w:sz w:val="24"/>
          <w:szCs w:val="24"/>
        </w:rPr>
        <w:t xml:space="preserve"> on </w:t>
      </w:r>
      <w:r>
        <w:rPr>
          <w:rFonts w:asciiTheme="majorHAnsi" w:hAnsiTheme="majorHAnsi" w:cs="Arial"/>
          <w:sz w:val="24"/>
          <w:szCs w:val="24"/>
        </w:rPr>
        <w:t>corticosteroids and biologics;</w:t>
      </w:r>
      <w:r w:rsidRPr="00557641">
        <w:rPr>
          <w:rFonts w:asciiTheme="majorHAnsi" w:hAnsiTheme="majorHAnsi" w:cs="Arial"/>
          <w:sz w:val="24"/>
          <w:szCs w:val="24"/>
        </w:rPr>
        <w:t xml:space="preserve"> </w:t>
      </w:r>
      <w:r>
        <w:rPr>
          <w:rFonts w:asciiTheme="majorHAnsi" w:hAnsiTheme="majorHAnsi" w:cs="Arial"/>
          <w:sz w:val="24"/>
          <w:szCs w:val="24"/>
        </w:rPr>
        <w:t>26</w:t>
      </w:r>
      <w:r w:rsidRPr="00557641">
        <w:rPr>
          <w:rFonts w:asciiTheme="majorHAnsi" w:hAnsiTheme="majorHAnsi" w:cs="Arial"/>
          <w:sz w:val="24"/>
          <w:szCs w:val="24"/>
        </w:rPr>
        <w:t xml:space="preserve"> on immunomodulators and biologics</w:t>
      </w:r>
      <w:r>
        <w:rPr>
          <w:rFonts w:asciiTheme="majorHAnsi" w:hAnsiTheme="majorHAnsi" w:cs="Arial"/>
          <w:sz w:val="24"/>
          <w:szCs w:val="24"/>
        </w:rPr>
        <w:t>; and 4 on corticosteroids, immunomodulators</w:t>
      </w:r>
      <w:r w:rsidR="009B7C2B">
        <w:rPr>
          <w:rFonts w:asciiTheme="majorHAnsi" w:hAnsiTheme="majorHAnsi" w:cs="Arial"/>
          <w:sz w:val="24"/>
          <w:szCs w:val="24"/>
        </w:rPr>
        <w:t>,</w:t>
      </w:r>
      <w:r>
        <w:rPr>
          <w:rFonts w:asciiTheme="majorHAnsi" w:hAnsiTheme="majorHAnsi" w:cs="Arial"/>
          <w:sz w:val="24"/>
          <w:szCs w:val="24"/>
        </w:rPr>
        <w:t xml:space="preserve"> and biologics</w:t>
      </w:r>
      <w:r w:rsidRPr="00557641">
        <w:rPr>
          <w:rFonts w:asciiTheme="majorHAnsi" w:hAnsiTheme="majorHAnsi" w:cs="Arial"/>
          <w:sz w:val="24"/>
          <w:szCs w:val="24"/>
        </w:rPr>
        <w:t xml:space="preserve">. </w:t>
      </w:r>
      <w:r>
        <w:rPr>
          <w:rFonts w:asciiTheme="majorHAnsi" w:hAnsiTheme="majorHAnsi" w:cs="Arial"/>
          <w:sz w:val="24"/>
          <w:szCs w:val="24"/>
        </w:rPr>
        <w:t>Parti</w:t>
      </w:r>
      <w:r w:rsidR="00857E61">
        <w:rPr>
          <w:rFonts w:asciiTheme="majorHAnsi" w:hAnsiTheme="majorHAnsi" w:cs="Arial"/>
          <w:sz w:val="24"/>
          <w:szCs w:val="24"/>
        </w:rPr>
        <w:t>cipants with Crohn’s disease (74.2</w:t>
      </w:r>
      <w:r>
        <w:rPr>
          <w:rFonts w:asciiTheme="majorHAnsi" w:hAnsiTheme="majorHAnsi" w:cs="Arial"/>
          <w:sz w:val="24"/>
          <w:szCs w:val="24"/>
        </w:rPr>
        <w:t>%) were more likely to be on immunosuppressants th</w:t>
      </w:r>
      <w:r w:rsidR="00857E61">
        <w:rPr>
          <w:rFonts w:asciiTheme="majorHAnsi" w:hAnsiTheme="majorHAnsi" w:cs="Arial"/>
          <w:sz w:val="24"/>
          <w:szCs w:val="24"/>
        </w:rPr>
        <w:t>an either ulcerative colitis (34.8</w:t>
      </w:r>
      <w:r>
        <w:rPr>
          <w:rFonts w:asciiTheme="majorHAnsi" w:hAnsiTheme="majorHAnsi" w:cs="Arial"/>
          <w:sz w:val="24"/>
          <w:szCs w:val="24"/>
        </w:rPr>
        <w:t xml:space="preserve">%) or </w:t>
      </w:r>
      <w:r w:rsidR="00B63C0C">
        <w:rPr>
          <w:rFonts w:asciiTheme="majorHAnsi" w:hAnsiTheme="majorHAnsi" w:cs="Arial"/>
          <w:sz w:val="24"/>
          <w:szCs w:val="24"/>
        </w:rPr>
        <w:t>IBD- unclassified</w:t>
      </w:r>
      <w:r>
        <w:rPr>
          <w:rFonts w:asciiTheme="majorHAnsi" w:hAnsiTheme="majorHAnsi" w:cs="Arial"/>
          <w:sz w:val="24"/>
          <w:szCs w:val="24"/>
        </w:rPr>
        <w:t xml:space="preserve"> (50</w:t>
      </w:r>
      <w:r w:rsidR="00857E61">
        <w:rPr>
          <w:rFonts w:asciiTheme="majorHAnsi" w:hAnsiTheme="majorHAnsi" w:cs="Arial"/>
          <w:sz w:val="24"/>
          <w:szCs w:val="24"/>
        </w:rPr>
        <w:t>.0</w:t>
      </w:r>
      <w:r>
        <w:rPr>
          <w:rFonts w:asciiTheme="majorHAnsi" w:hAnsiTheme="majorHAnsi" w:cs="Arial"/>
          <w:sz w:val="24"/>
          <w:szCs w:val="24"/>
        </w:rPr>
        <w:t>%).</w:t>
      </w:r>
    </w:p>
    <w:p w:rsidR="008C7DDB" w:rsidRDefault="008C7DDB"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A total of 123 participants (79</w:t>
      </w:r>
      <w:r w:rsidR="00857E61">
        <w:rPr>
          <w:rFonts w:asciiTheme="majorHAnsi" w:hAnsiTheme="majorHAnsi" w:cs="Arial"/>
          <w:sz w:val="24"/>
          <w:szCs w:val="24"/>
        </w:rPr>
        <w:t>.4</w:t>
      </w:r>
      <w:r>
        <w:rPr>
          <w:rFonts w:asciiTheme="majorHAnsi" w:hAnsiTheme="majorHAnsi" w:cs="Arial"/>
          <w:sz w:val="24"/>
          <w:szCs w:val="24"/>
        </w:rPr>
        <w:t xml:space="preserve">%) reported having ever used immunosuppressants: 105 used systemic corticosteroids (104 used prednisone, 9 used methylprednisolone, and 10 used </w:t>
      </w:r>
      <w:proofErr w:type="spellStart"/>
      <w:r>
        <w:rPr>
          <w:rFonts w:asciiTheme="majorHAnsi" w:hAnsiTheme="majorHAnsi" w:cs="Arial"/>
          <w:sz w:val="24"/>
          <w:szCs w:val="24"/>
        </w:rPr>
        <w:t>budesonide</w:t>
      </w:r>
      <w:proofErr w:type="spellEnd"/>
      <w:r>
        <w:rPr>
          <w:rFonts w:asciiTheme="majorHAnsi" w:hAnsiTheme="majorHAnsi" w:cs="Arial"/>
          <w:sz w:val="24"/>
          <w:szCs w:val="24"/>
        </w:rPr>
        <w:t>); 98 used immunom</w:t>
      </w:r>
      <w:r w:rsidR="00857E61">
        <w:rPr>
          <w:rFonts w:asciiTheme="majorHAnsi" w:hAnsiTheme="majorHAnsi" w:cs="Arial"/>
          <w:sz w:val="24"/>
          <w:szCs w:val="24"/>
        </w:rPr>
        <w:t xml:space="preserve">odulators (88 used </w:t>
      </w:r>
      <w:proofErr w:type="spellStart"/>
      <w:r w:rsidR="00857E61">
        <w:rPr>
          <w:rFonts w:asciiTheme="majorHAnsi" w:hAnsiTheme="majorHAnsi" w:cs="Arial"/>
          <w:sz w:val="24"/>
          <w:szCs w:val="24"/>
        </w:rPr>
        <w:t>azathioprine</w:t>
      </w:r>
      <w:proofErr w:type="spellEnd"/>
      <w:r w:rsidR="00857E61">
        <w:rPr>
          <w:rFonts w:asciiTheme="majorHAnsi" w:hAnsiTheme="majorHAnsi" w:cs="Arial"/>
          <w:sz w:val="24"/>
          <w:szCs w:val="24"/>
        </w:rPr>
        <w:t xml:space="preserve">, </w:t>
      </w:r>
      <w:r>
        <w:rPr>
          <w:rFonts w:asciiTheme="majorHAnsi" w:hAnsiTheme="majorHAnsi" w:cs="Arial"/>
          <w:sz w:val="24"/>
          <w:szCs w:val="24"/>
        </w:rPr>
        <w:t xml:space="preserve">43 used </w:t>
      </w:r>
      <w:proofErr w:type="spellStart"/>
      <w:r>
        <w:rPr>
          <w:rFonts w:asciiTheme="majorHAnsi" w:hAnsiTheme="majorHAnsi" w:cs="Arial"/>
          <w:sz w:val="24"/>
          <w:szCs w:val="24"/>
        </w:rPr>
        <w:t>methotrexate</w:t>
      </w:r>
      <w:proofErr w:type="spellEnd"/>
      <w:r w:rsidR="00857E61">
        <w:rPr>
          <w:rFonts w:asciiTheme="majorHAnsi" w:hAnsiTheme="majorHAnsi" w:cs="Arial"/>
          <w:sz w:val="24"/>
          <w:szCs w:val="24"/>
        </w:rPr>
        <w:t>, and 1 used thalidomide</w:t>
      </w:r>
      <w:r>
        <w:rPr>
          <w:rFonts w:asciiTheme="majorHAnsi" w:hAnsiTheme="majorHAnsi" w:cs="Arial"/>
          <w:sz w:val="24"/>
          <w:szCs w:val="24"/>
        </w:rPr>
        <w:t>); and 59 used biologics (58 used infliximab and 3 used adalimumab).</w:t>
      </w:r>
    </w:p>
    <w:p w:rsidR="008C46E2" w:rsidRDefault="008C46E2" w:rsidP="008C46E2">
      <w:pPr>
        <w:autoSpaceDE w:val="0"/>
        <w:autoSpaceDN w:val="0"/>
        <w:adjustRightInd w:val="0"/>
        <w:spacing w:after="0" w:line="480" w:lineRule="auto"/>
        <w:ind w:firstLine="720"/>
        <w:jc w:val="both"/>
        <w:rPr>
          <w:rFonts w:asciiTheme="majorHAnsi" w:hAnsiTheme="majorHAnsi" w:cs="Arial"/>
          <w:sz w:val="24"/>
          <w:szCs w:val="24"/>
        </w:rPr>
      </w:pPr>
      <w:r w:rsidRPr="008C46E2">
        <w:rPr>
          <w:rFonts w:asciiTheme="majorHAnsi" w:eastAsia="Times New Roman" w:hAnsiTheme="majorHAnsi"/>
          <w:sz w:val="24"/>
          <w:szCs w:val="24"/>
        </w:rPr>
        <w:t xml:space="preserve">From review of </w:t>
      </w:r>
      <w:r>
        <w:rPr>
          <w:rFonts w:asciiTheme="majorHAnsi" w:eastAsia="Times New Roman" w:hAnsiTheme="majorHAnsi"/>
          <w:sz w:val="24"/>
          <w:szCs w:val="24"/>
        </w:rPr>
        <w:t xml:space="preserve">the 152 </w:t>
      </w:r>
      <w:r w:rsidRPr="008C46E2">
        <w:rPr>
          <w:rFonts w:asciiTheme="majorHAnsi" w:eastAsia="Times New Roman" w:hAnsiTheme="majorHAnsi"/>
          <w:sz w:val="24"/>
          <w:szCs w:val="24"/>
        </w:rPr>
        <w:t>vaccination records, the proportion with complete series for each vaccine according to the Alberta schedule (at age of vaccination) was evaluated.</w:t>
      </w:r>
      <w:r>
        <w:rPr>
          <w:rFonts w:asciiTheme="majorHAnsi" w:eastAsia="Times New Roman" w:hAnsiTheme="majorHAnsi"/>
          <w:sz w:val="24"/>
          <w:szCs w:val="24"/>
        </w:rPr>
        <w:t xml:space="preserve"> 10</w:t>
      </w:r>
      <w:r w:rsidR="00867A1F">
        <w:rPr>
          <w:rFonts w:asciiTheme="majorHAnsi" w:hAnsiTheme="majorHAnsi"/>
          <w:sz w:val="24"/>
          <w:szCs w:val="24"/>
        </w:rPr>
        <w:t xml:space="preserve">6 </w:t>
      </w:r>
      <w:r w:rsidR="00867A1F">
        <w:rPr>
          <w:rFonts w:asciiTheme="majorHAnsi" w:hAnsiTheme="majorHAnsi"/>
          <w:sz w:val="24"/>
          <w:szCs w:val="24"/>
        </w:rPr>
        <w:lastRenderedPageBreak/>
        <w:t>participants (69.7</w:t>
      </w:r>
      <w:r>
        <w:rPr>
          <w:rFonts w:asciiTheme="majorHAnsi" w:hAnsiTheme="majorHAnsi"/>
          <w:sz w:val="24"/>
          <w:szCs w:val="24"/>
        </w:rPr>
        <w:t>%) had the standard immunizations up to date: 142 participants (93</w:t>
      </w:r>
      <w:r w:rsidR="00867A1F">
        <w:rPr>
          <w:rFonts w:asciiTheme="majorHAnsi" w:hAnsiTheme="majorHAnsi"/>
          <w:sz w:val="24"/>
          <w:szCs w:val="24"/>
        </w:rPr>
        <w:t>.4%) for MMR, 130 participants (85.5</w:t>
      </w:r>
      <w:r>
        <w:rPr>
          <w:rFonts w:asciiTheme="majorHAnsi" w:hAnsiTheme="majorHAnsi"/>
          <w:sz w:val="24"/>
          <w:szCs w:val="24"/>
        </w:rPr>
        <w:t xml:space="preserve">%) for </w:t>
      </w:r>
      <w:proofErr w:type="spellStart"/>
      <w:r>
        <w:rPr>
          <w:rFonts w:asciiTheme="majorHAnsi" w:hAnsiTheme="majorHAnsi"/>
          <w:sz w:val="24"/>
          <w:szCs w:val="24"/>
        </w:rPr>
        <w:t>D</w:t>
      </w:r>
      <w:r w:rsidR="00E65849">
        <w:rPr>
          <w:rFonts w:asciiTheme="majorHAnsi" w:hAnsiTheme="majorHAnsi"/>
          <w:sz w:val="24"/>
          <w:szCs w:val="24"/>
        </w:rPr>
        <w:t>Tap</w:t>
      </w:r>
      <w:proofErr w:type="spellEnd"/>
      <w:r w:rsidR="00E65849">
        <w:rPr>
          <w:rFonts w:asciiTheme="majorHAnsi" w:hAnsiTheme="majorHAnsi"/>
          <w:sz w:val="24"/>
          <w:szCs w:val="24"/>
        </w:rPr>
        <w:t>-IPV-</w:t>
      </w:r>
      <w:proofErr w:type="spellStart"/>
      <w:r>
        <w:rPr>
          <w:rFonts w:asciiTheme="majorHAnsi" w:hAnsiTheme="majorHAnsi"/>
          <w:sz w:val="24"/>
          <w:szCs w:val="24"/>
        </w:rPr>
        <w:t>Hib</w:t>
      </w:r>
      <w:proofErr w:type="spellEnd"/>
      <w:r>
        <w:rPr>
          <w:rFonts w:asciiTheme="majorHAnsi" w:hAnsiTheme="majorHAnsi"/>
          <w:sz w:val="24"/>
          <w:szCs w:val="24"/>
        </w:rPr>
        <w:t>, and 127 participants (8</w:t>
      </w:r>
      <w:r w:rsidR="00867A1F">
        <w:rPr>
          <w:rFonts w:asciiTheme="majorHAnsi" w:hAnsiTheme="majorHAnsi"/>
          <w:sz w:val="24"/>
          <w:szCs w:val="24"/>
        </w:rPr>
        <w:t>3.6</w:t>
      </w:r>
      <w:r>
        <w:rPr>
          <w:rFonts w:asciiTheme="majorHAnsi" w:hAnsiTheme="majorHAnsi"/>
          <w:sz w:val="24"/>
          <w:szCs w:val="24"/>
        </w:rPr>
        <w:t>%) for HBV (Table 3</w:t>
      </w:r>
      <w:r w:rsidR="00867A1F">
        <w:rPr>
          <w:rFonts w:asciiTheme="majorHAnsi" w:hAnsiTheme="majorHAnsi"/>
          <w:sz w:val="24"/>
          <w:szCs w:val="24"/>
        </w:rPr>
        <w:t>). For the HPV vaccinations, 126 participants (82.9</w:t>
      </w:r>
      <w:r>
        <w:rPr>
          <w:rFonts w:asciiTheme="majorHAnsi" w:hAnsiTheme="majorHAnsi"/>
          <w:sz w:val="24"/>
          <w:szCs w:val="24"/>
        </w:rPr>
        <w:t xml:space="preserve">%) </w:t>
      </w:r>
      <w:r w:rsidR="00CD30C4">
        <w:rPr>
          <w:rFonts w:asciiTheme="majorHAnsi" w:hAnsiTheme="majorHAnsi"/>
          <w:sz w:val="24"/>
          <w:szCs w:val="24"/>
        </w:rPr>
        <w:t>did</w:t>
      </w:r>
      <w:r>
        <w:rPr>
          <w:rFonts w:asciiTheme="majorHAnsi" w:hAnsiTheme="majorHAnsi"/>
          <w:sz w:val="24"/>
          <w:szCs w:val="24"/>
        </w:rPr>
        <w:t xml:space="preserve"> not receive the vaccine</w:t>
      </w:r>
      <w:r w:rsidR="00CD30C4">
        <w:rPr>
          <w:rFonts w:asciiTheme="majorHAnsi" w:hAnsiTheme="majorHAnsi"/>
          <w:sz w:val="24"/>
          <w:szCs w:val="24"/>
        </w:rPr>
        <w:t>:</w:t>
      </w:r>
      <w:r w:rsidR="00867A1F">
        <w:rPr>
          <w:rFonts w:asciiTheme="majorHAnsi" w:hAnsiTheme="majorHAnsi"/>
          <w:sz w:val="24"/>
          <w:szCs w:val="24"/>
        </w:rPr>
        <w:t xml:space="preserve"> 25 female participants did not receive the vaccine, </w:t>
      </w:r>
      <w:r>
        <w:rPr>
          <w:rFonts w:asciiTheme="majorHAnsi" w:hAnsiTheme="majorHAnsi"/>
          <w:sz w:val="24"/>
          <w:szCs w:val="24"/>
        </w:rPr>
        <w:t xml:space="preserve">20 </w:t>
      </w:r>
      <w:r w:rsidR="007B3621">
        <w:rPr>
          <w:rFonts w:asciiTheme="majorHAnsi" w:hAnsiTheme="majorHAnsi"/>
          <w:sz w:val="24"/>
          <w:szCs w:val="24"/>
        </w:rPr>
        <w:t xml:space="preserve">female </w:t>
      </w:r>
      <w:r>
        <w:rPr>
          <w:rFonts w:asciiTheme="majorHAnsi" w:hAnsiTheme="majorHAnsi"/>
          <w:sz w:val="24"/>
          <w:szCs w:val="24"/>
        </w:rPr>
        <w:t xml:space="preserve">participants were outside of the </w:t>
      </w:r>
      <w:r w:rsidR="00867A1F">
        <w:rPr>
          <w:rFonts w:asciiTheme="majorHAnsi" w:hAnsiTheme="majorHAnsi"/>
          <w:sz w:val="24"/>
          <w:szCs w:val="24"/>
        </w:rPr>
        <w:t>appropriate age bracket and 82</w:t>
      </w:r>
      <w:r>
        <w:rPr>
          <w:rFonts w:asciiTheme="majorHAnsi" w:hAnsiTheme="majorHAnsi"/>
          <w:sz w:val="24"/>
          <w:szCs w:val="24"/>
        </w:rPr>
        <w:t xml:space="preserve"> male participants were excluded from the numbers for HPV. Of note, 1</w:t>
      </w:r>
      <w:r w:rsidR="007B3621">
        <w:rPr>
          <w:rFonts w:asciiTheme="majorHAnsi" w:hAnsiTheme="majorHAnsi"/>
          <w:sz w:val="24"/>
          <w:szCs w:val="24"/>
        </w:rPr>
        <w:t xml:space="preserve"> of the 82</w:t>
      </w:r>
      <w:r>
        <w:rPr>
          <w:rFonts w:asciiTheme="majorHAnsi" w:hAnsiTheme="majorHAnsi"/>
          <w:sz w:val="24"/>
          <w:szCs w:val="24"/>
        </w:rPr>
        <w:t xml:space="preserve"> male participant</w:t>
      </w:r>
      <w:r w:rsidR="007B3621">
        <w:rPr>
          <w:rFonts w:asciiTheme="majorHAnsi" w:hAnsiTheme="majorHAnsi"/>
          <w:sz w:val="24"/>
          <w:szCs w:val="24"/>
        </w:rPr>
        <w:t xml:space="preserve">s with valid immunization </w:t>
      </w:r>
      <w:r w:rsidR="00C9444A">
        <w:rPr>
          <w:rFonts w:asciiTheme="majorHAnsi" w:hAnsiTheme="majorHAnsi"/>
          <w:sz w:val="24"/>
          <w:szCs w:val="24"/>
        </w:rPr>
        <w:t>documentation</w:t>
      </w:r>
      <w:r>
        <w:rPr>
          <w:rFonts w:asciiTheme="majorHAnsi" w:hAnsiTheme="majorHAnsi"/>
          <w:sz w:val="24"/>
          <w:szCs w:val="24"/>
        </w:rPr>
        <w:t xml:space="preserve"> received the HPV vaccine.</w:t>
      </w:r>
      <w:r w:rsidRPr="008C46E2">
        <w:rPr>
          <w:rFonts w:asciiTheme="majorHAnsi" w:hAnsiTheme="majorHAnsi" w:cs="Arial"/>
          <w:sz w:val="24"/>
          <w:szCs w:val="24"/>
        </w:rPr>
        <w:t xml:space="preserve"> </w:t>
      </w:r>
      <w:r>
        <w:rPr>
          <w:rFonts w:asciiTheme="majorHAnsi" w:hAnsiTheme="majorHAnsi" w:cs="Arial"/>
          <w:sz w:val="24"/>
          <w:szCs w:val="24"/>
        </w:rPr>
        <w:t xml:space="preserve">Only 87 </w:t>
      </w:r>
      <w:r w:rsidR="007170EB">
        <w:rPr>
          <w:rFonts w:asciiTheme="majorHAnsi" w:hAnsiTheme="majorHAnsi" w:cs="Arial"/>
          <w:sz w:val="24"/>
          <w:szCs w:val="24"/>
        </w:rPr>
        <w:t>participants</w:t>
      </w:r>
      <w:r>
        <w:rPr>
          <w:rFonts w:asciiTheme="majorHAnsi" w:hAnsiTheme="majorHAnsi" w:cs="Arial"/>
          <w:sz w:val="24"/>
          <w:szCs w:val="24"/>
        </w:rPr>
        <w:t xml:space="preserve"> (56</w:t>
      </w:r>
      <w:r w:rsidR="007B3621">
        <w:rPr>
          <w:rFonts w:asciiTheme="majorHAnsi" w:hAnsiTheme="majorHAnsi" w:cs="Arial"/>
          <w:sz w:val="24"/>
          <w:szCs w:val="24"/>
        </w:rPr>
        <w:t>.1</w:t>
      </w:r>
      <w:r w:rsidRPr="00A95590">
        <w:rPr>
          <w:rFonts w:asciiTheme="majorHAnsi" w:hAnsiTheme="majorHAnsi" w:cs="Arial"/>
          <w:sz w:val="24"/>
          <w:szCs w:val="24"/>
        </w:rPr>
        <w:t>%) had a hi</w:t>
      </w:r>
      <w:r w:rsidR="00216112">
        <w:rPr>
          <w:rFonts w:asciiTheme="majorHAnsi" w:hAnsiTheme="majorHAnsi" w:cs="Arial"/>
          <w:sz w:val="24"/>
          <w:szCs w:val="24"/>
        </w:rPr>
        <w:t xml:space="preserve">story of chicken pox, of these </w:t>
      </w:r>
      <w:r>
        <w:rPr>
          <w:rFonts w:asciiTheme="majorHAnsi" w:hAnsiTheme="majorHAnsi" w:cs="Arial"/>
          <w:sz w:val="24"/>
          <w:szCs w:val="24"/>
        </w:rPr>
        <w:t>51</w:t>
      </w:r>
      <w:r w:rsidRPr="00A95590">
        <w:rPr>
          <w:rFonts w:asciiTheme="majorHAnsi" w:hAnsiTheme="majorHAnsi" w:cs="Arial"/>
          <w:sz w:val="24"/>
          <w:szCs w:val="24"/>
        </w:rPr>
        <w:t xml:space="preserve"> </w:t>
      </w:r>
      <w:r w:rsidR="007170EB">
        <w:rPr>
          <w:rFonts w:asciiTheme="majorHAnsi" w:hAnsiTheme="majorHAnsi" w:cs="Arial"/>
          <w:sz w:val="24"/>
          <w:szCs w:val="24"/>
        </w:rPr>
        <w:t xml:space="preserve">participants </w:t>
      </w:r>
      <w:r w:rsidRPr="00A95590">
        <w:rPr>
          <w:rFonts w:asciiTheme="majorHAnsi" w:hAnsiTheme="majorHAnsi" w:cs="Arial"/>
          <w:sz w:val="24"/>
          <w:szCs w:val="24"/>
        </w:rPr>
        <w:t xml:space="preserve">reported </w:t>
      </w:r>
      <w:r>
        <w:rPr>
          <w:rFonts w:asciiTheme="majorHAnsi" w:hAnsiTheme="majorHAnsi" w:cs="Arial"/>
          <w:sz w:val="24"/>
          <w:szCs w:val="24"/>
        </w:rPr>
        <w:t>diagnoses by a physician and 10 cases were confirmed by a blood test</w:t>
      </w:r>
      <w:r w:rsidRPr="00A95590">
        <w:rPr>
          <w:rFonts w:asciiTheme="majorHAnsi" w:hAnsiTheme="majorHAnsi" w:cs="Arial"/>
          <w:sz w:val="24"/>
          <w:szCs w:val="24"/>
        </w:rPr>
        <w:t xml:space="preserve">. </w:t>
      </w:r>
      <w:r w:rsidRPr="00B73268">
        <w:rPr>
          <w:rFonts w:asciiTheme="majorHAnsi" w:hAnsiTheme="majorHAnsi" w:cs="Arial"/>
          <w:sz w:val="24"/>
          <w:szCs w:val="24"/>
        </w:rPr>
        <w:t xml:space="preserve">For </w:t>
      </w:r>
      <w:r>
        <w:rPr>
          <w:rFonts w:asciiTheme="majorHAnsi" w:hAnsiTheme="majorHAnsi" w:cs="Arial"/>
          <w:sz w:val="24"/>
          <w:szCs w:val="24"/>
        </w:rPr>
        <w:t>varicella</w:t>
      </w:r>
      <w:r w:rsidRPr="00B73268">
        <w:rPr>
          <w:rFonts w:asciiTheme="majorHAnsi" w:hAnsiTheme="majorHAnsi" w:cs="Arial"/>
          <w:sz w:val="24"/>
          <w:szCs w:val="24"/>
        </w:rPr>
        <w:t xml:space="preserve">, 60 </w:t>
      </w:r>
      <w:r w:rsidR="007170EB">
        <w:rPr>
          <w:rFonts w:asciiTheme="majorHAnsi" w:hAnsiTheme="majorHAnsi" w:cs="Arial"/>
          <w:sz w:val="24"/>
          <w:szCs w:val="24"/>
        </w:rPr>
        <w:t>participants</w:t>
      </w:r>
      <w:r w:rsidRPr="00B73268">
        <w:rPr>
          <w:rFonts w:asciiTheme="majorHAnsi" w:hAnsiTheme="majorHAnsi" w:cs="Arial"/>
          <w:sz w:val="24"/>
          <w:szCs w:val="24"/>
        </w:rPr>
        <w:t xml:space="preserve"> received at least one dose of </w:t>
      </w:r>
      <w:r>
        <w:rPr>
          <w:rFonts w:asciiTheme="majorHAnsi" w:hAnsiTheme="majorHAnsi" w:cs="Arial"/>
          <w:sz w:val="24"/>
          <w:szCs w:val="24"/>
        </w:rPr>
        <w:t>varicella</w:t>
      </w:r>
      <w:r w:rsidRPr="00B73268">
        <w:rPr>
          <w:rFonts w:asciiTheme="majorHAnsi" w:hAnsiTheme="majorHAnsi" w:cs="Arial"/>
          <w:sz w:val="24"/>
          <w:szCs w:val="24"/>
        </w:rPr>
        <w:t xml:space="preserve"> vaccine; </w:t>
      </w:r>
      <w:r>
        <w:rPr>
          <w:rFonts w:asciiTheme="majorHAnsi" w:hAnsiTheme="majorHAnsi" w:cs="Arial"/>
          <w:sz w:val="24"/>
          <w:szCs w:val="24"/>
        </w:rPr>
        <w:t>87</w:t>
      </w:r>
      <w:r w:rsidRPr="00B73268">
        <w:rPr>
          <w:rFonts w:asciiTheme="majorHAnsi" w:hAnsiTheme="majorHAnsi" w:cs="Arial"/>
          <w:sz w:val="24"/>
          <w:szCs w:val="24"/>
        </w:rPr>
        <w:t xml:space="preserve"> non-vaccinated </w:t>
      </w:r>
      <w:r w:rsidR="007170EB">
        <w:rPr>
          <w:rFonts w:asciiTheme="majorHAnsi" w:hAnsiTheme="majorHAnsi" w:cs="Arial"/>
          <w:sz w:val="24"/>
          <w:szCs w:val="24"/>
        </w:rPr>
        <w:t>participants</w:t>
      </w:r>
      <w:r w:rsidR="007170EB" w:rsidRPr="00B73268">
        <w:rPr>
          <w:rFonts w:asciiTheme="majorHAnsi" w:hAnsiTheme="majorHAnsi" w:cs="Arial"/>
          <w:sz w:val="24"/>
          <w:szCs w:val="24"/>
        </w:rPr>
        <w:t xml:space="preserve"> </w:t>
      </w:r>
      <w:r w:rsidRPr="00B73268">
        <w:rPr>
          <w:rFonts w:asciiTheme="majorHAnsi" w:hAnsiTheme="majorHAnsi" w:cs="Arial"/>
          <w:sz w:val="24"/>
          <w:szCs w:val="24"/>
        </w:rPr>
        <w:t xml:space="preserve">had a history of chickenpox infection. However 10 of 152 </w:t>
      </w:r>
      <w:r w:rsidR="007170EB">
        <w:rPr>
          <w:rFonts w:asciiTheme="majorHAnsi" w:hAnsiTheme="majorHAnsi" w:cs="Arial"/>
          <w:sz w:val="24"/>
          <w:szCs w:val="24"/>
        </w:rPr>
        <w:t>participants</w:t>
      </w:r>
      <w:r w:rsidR="007170EB" w:rsidRPr="00B73268">
        <w:rPr>
          <w:rFonts w:asciiTheme="majorHAnsi" w:hAnsiTheme="majorHAnsi" w:cs="Arial"/>
          <w:sz w:val="24"/>
          <w:szCs w:val="24"/>
        </w:rPr>
        <w:t xml:space="preserve"> </w:t>
      </w:r>
      <w:r w:rsidRPr="00B73268">
        <w:rPr>
          <w:rFonts w:asciiTheme="majorHAnsi" w:hAnsiTheme="majorHAnsi" w:cs="Arial"/>
          <w:sz w:val="24"/>
          <w:szCs w:val="24"/>
        </w:rPr>
        <w:t xml:space="preserve">had neither been infected nor vaccinated, including 7 </w:t>
      </w:r>
      <w:r w:rsidR="008C3CC7">
        <w:rPr>
          <w:rFonts w:asciiTheme="majorHAnsi" w:hAnsiTheme="majorHAnsi" w:cs="Arial"/>
          <w:sz w:val="24"/>
          <w:szCs w:val="24"/>
        </w:rPr>
        <w:t xml:space="preserve">participants </w:t>
      </w:r>
      <w:r w:rsidRPr="00B73268">
        <w:rPr>
          <w:rFonts w:asciiTheme="majorHAnsi" w:hAnsiTheme="majorHAnsi" w:cs="Arial"/>
          <w:sz w:val="24"/>
          <w:szCs w:val="24"/>
        </w:rPr>
        <w:t>who were currently using immunosuppressive medications.</w:t>
      </w:r>
      <w:r>
        <w:rPr>
          <w:rFonts w:asciiTheme="majorHAnsi" w:hAnsiTheme="majorHAnsi" w:cs="Arial"/>
          <w:sz w:val="24"/>
          <w:szCs w:val="24"/>
        </w:rPr>
        <w:t xml:space="preserve"> </w:t>
      </w:r>
    </w:p>
    <w:p w:rsidR="00B73268" w:rsidRPr="00B73268" w:rsidRDefault="00B73268" w:rsidP="00B73268">
      <w:pPr>
        <w:spacing w:after="0" w:line="480" w:lineRule="auto"/>
        <w:ind w:firstLine="720"/>
        <w:jc w:val="both"/>
        <w:rPr>
          <w:rFonts w:asciiTheme="majorHAnsi" w:hAnsiTheme="majorHAnsi"/>
          <w:sz w:val="24"/>
          <w:szCs w:val="24"/>
        </w:rPr>
      </w:pPr>
      <w:r w:rsidRPr="00B63C0C">
        <w:rPr>
          <w:rFonts w:asciiTheme="majorHAnsi" w:hAnsiTheme="majorHAnsi" w:cs="Arial"/>
          <w:sz w:val="24"/>
          <w:szCs w:val="24"/>
        </w:rPr>
        <w:t xml:space="preserve">At this time, </w:t>
      </w:r>
      <w:r w:rsidR="00CD30C4">
        <w:rPr>
          <w:rFonts w:asciiTheme="majorHAnsi" w:hAnsiTheme="majorHAnsi" w:cs="Arial"/>
          <w:sz w:val="24"/>
          <w:szCs w:val="24"/>
        </w:rPr>
        <w:t xml:space="preserve">serology </w:t>
      </w:r>
      <w:r w:rsidRPr="00B63C0C">
        <w:rPr>
          <w:rFonts w:asciiTheme="majorHAnsi" w:hAnsiTheme="majorHAnsi" w:cs="Arial"/>
          <w:sz w:val="24"/>
          <w:szCs w:val="24"/>
        </w:rPr>
        <w:t xml:space="preserve">results are only available for rubella, hepatitis </w:t>
      </w:r>
      <w:r w:rsidR="008C46E2">
        <w:rPr>
          <w:rFonts w:asciiTheme="majorHAnsi" w:hAnsiTheme="majorHAnsi" w:cs="Arial"/>
          <w:sz w:val="24"/>
          <w:szCs w:val="24"/>
        </w:rPr>
        <w:t>B, and hepatitis A</w:t>
      </w:r>
      <w:r w:rsidRPr="00B63C0C">
        <w:rPr>
          <w:rFonts w:asciiTheme="majorHAnsi" w:hAnsiTheme="majorHAnsi" w:cs="Arial"/>
          <w:sz w:val="24"/>
          <w:szCs w:val="24"/>
        </w:rPr>
        <w:t xml:space="preserve">. Of 155 participants, 127 </w:t>
      </w:r>
      <w:r w:rsidR="008C3CC7">
        <w:rPr>
          <w:rFonts w:asciiTheme="majorHAnsi" w:hAnsiTheme="majorHAnsi" w:cs="Arial"/>
          <w:sz w:val="24"/>
          <w:szCs w:val="24"/>
        </w:rPr>
        <w:t xml:space="preserve">participants </w:t>
      </w:r>
      <w:r w:rsidRPr="00B63C0C">
        <w:rPr>
          <w:rFonts w:asciiTheme="majorHAnsi" w:hAnsiTheme="majorHAnsi" w:cs="Arial"/>
          <w:sz w:val="24"/>
          <w:szCs w:val="24"/>
        </w:rPr>
        <w:t xml:space="preserve">(81.9%) </w:t>
      </w:r>
      <w:r w:rsidRPr="00B73268">
        <w:rPr>
          <w:rFonts w:asciiTheme="majorHAnsi" w:hAnsiTheme="majorHAnsi"/>
          <w:sz w:val="24"/>
          <w:szCs w:val="24"/>
        </w:rPr>
        <w:t xml:space="preserve">demonstrated serologic immunity to </w:t>
      </w:r>
      <w:r w:rsidR="008C46E2">
        <w:rPr>
          <w:rFonts w:asciiTheme="majorHAnsi" w:hAnsiTheme="majorHAnsi"/>
          <w:sz w:val="24"/>
          <w:szCs w:val="24"/>
        </w:rPr>
        <w:t xml:space="preserve">rubella, </w:t>
      </w:r>
      <w:r w:rsidR="008C46E2" w:rsidRPr="00B73268">
        <w:rPr>
          <w:rFonts w:asciiTheme="majorHAnsi" w:hAnsiTheme="majorHAnsi"/>
          <w:sz w:val="24"/>
          <w:szCs w:val="24"/>
        </w:rPr>
        <w:t xml:space="preserve">102 </w:t>
      </w:r>
      <w:r w:rsidR="008C3CC7">
        <w:rPr>
          <w:rFonts w:asciiTheme="majorHAnsi" w:hAnsiTheme="majorHAnsi"/>
          <w:sz w:val="24"/>
          <w:szCs w:val="24"/>
        </w:rPr>
        <w:t xml:space="preserve">participants </w:t>
      </w:r>
      <w:r w:rsidR="008C46E2" w:rsidRPr="00B73268">
        <w:rPr>
          <w:rFonts w:asciiTheme="majorHAnsi" w:hAnsiTheme="majorHAnsi"/>
          <w:sz w:val="24"/>
          <w:szCs w:val="24"/>
        </w:rPr>
        <w:t>(65.8%) had serologic immunity to hepatitis B virus</w:t>
      </w:r>
      <w:r w:rsidRPr="00B73268">
        <w:rPr>
          <w:rFonts w:asciiTheme="majorHAnsi" w:hAnsiTheme="majorHAnsi"/>
          <w:sz w:val="24"/>
          <w:szCs w:val="24"/>
        </w:rPr>
        <w:t xml:space="preserve">, and </w:t>
      </w:r>
      <w:r w:rsidR="008C46E2" w:rsidRPr="00B73268">
        <w:rPr>
          <w:rFonts w:asciiTheme="majorHAnsi" w:hAnsiTheme="majorHAnsi"/>
          <w:sz w:val="24"/>
          <w:szCs w:val="24"/>
        </w:rPr>
        <w:t xml:space="preserve">32 </w:t>
      </w:r>
      <w:r w:rsidR="008C3CC7">
        <w:rPr>
          <w:rFonts w:asciiTheme="majorHAnsi" w:hAnsiTheme="majorHAnsi"/>
          <w:sz w:val="24"/>
          <w:szCs w:val="24"/>
        </w:rPr>
        <w:t xml:space="preserve">participants </w:t>
      </w:r>
      <w:r w:rsidR="008C46E2" w:rsidRPr="00B73268">
        <w:rPr>
          <w:rFonts w:asciiTheme="majorHAnsi" w:hAnsiTheme="majorHAnsi"/>
          <w:sz w:val="24"/>
          <w:szCs w:val="24"/>
        </w:rPr>
        <w:t>(20.6%) had serologic immunity to hepatitis A virus</w:t>
      </w:r>
      <w:r w:rsidRPr="00B73268">
        <w:rPr>
          <w:rFonts w:asciiTheme="majorHAnsi" w:hAnsiTheme="majorHAnsi"/>
          <w:sz w:val="24"/>
          <w:szCs w:val="24"/>
        </w:rPr>
        <w:t xml:space="preserve">. Though 139 </w:t>
      </w:r>
      <w:r w:rsidR="007170EB">
        <w:rPr>
          <w:rFonts w:asciiTheme="majorHAnsi" w:hAnsiTheme="majorHAnsi" w:cs="Arial"/>
          <w:sz w:val="24"/>
          <w:szCs w:val="24"/>
        </w:rPr>
        <w:t>participants</w:t>
      </w:r>
      <w:r w:rsidR="007170EB" w:rsidRPr="00B73268">
        <w:rPr>
          <w:rFonts w:asciiTheme="majorHAnsi" w:hAnsiTheme="majorHAnsi" w:cs="Arial"/>
          <w:sz w:val="24"/>
          <w:szCs w:val="24"/>
        </w:rPr>
        <w:t xml:space="preserve"> </w:t>
      </w:r>
      <w:r w:rsidRPr="00B73268">
        <w:rPr>
          <w:rFonts w:asciiTheme="majorHAnsi" w:hAnsiTheme="majorHAnsi"/>
          <w:sz w:val="24"/>
          <w:szCs w:val="24"/>
        </w:rPr>
        <w:t>completed the MMR series, 26 of these subjects lacked serologic protection to rubella, including 15 subjects who were currently using immunosuppressive medications.</w:t>
      </w:r>
    </w:p>
    <w:p w:rsidR="008C7DDB" w:rsidRDefault="00B73268" w:rsidP="00216112">
      <w:pPr>
        <w:spacing w:line="480" w:lineRule="auto"/>
        <w:ind w:firstLine="720"/>
        <w:jc w:val="both"/>
        <w:rPr>
          <w:rFonts w:asciiTheme="majorHAnsi" w:hAnsiTheme="majorHAnsi" w:cs="Arial"/>
          <w:sz w:val="24"/>
          <w:szCs w:val="24"/>
        </w:rPr>
      </w:pPr>
      <w:r>
        <w:rPr>
          <w:rFonts w:asciiTheme="majorHAnsi" w:hAnsiTheme="majorHAnsi" w:cs="Arial"/>
          <w:sz w:val="24"/>
          <w:szCs w:val="24"/>
        </w:rPr>
        <w:t>For hepatitis B</w:t>
      </w:r>
      <w:r w:rsidRPr="00A95590">
        <w:rPr>
          <w:rFonts w:asciiTheme="majorHAnsi" w:hAnsiTheme="majorHAnsi" w:cs="Arial"/>
          <w:sz w:val="24"/>
          <w:szCs w:val="24"/>
        </w:rPr>
        <w:t xml:space="preserve">, </w:t>
      </w:r>
      <w:r>
        <w:rPr>
          <w:rFonts w:asciiTheme="majorHAnsi" w:hAnsiTheme="majorHAnsi" w:cs="Arial"/>
          <w:sz w:val="24"/>
          <w:szCs w:val="24"/>
        </w:rPr>
        <w:t>150 participants (9</w:t>
      </w:r>
      <w:r w:rsidR="007B3621">
        <w:rPr>
          <w:rFonts w:asciiTheme="majorHAnsi" w:hAnsiTheme="majorHAnsi" w:cs="Arial"/>
          <w:sz w:val="24"/>
          <w:szCs w:val="24"/>
        </w:rPr>
        <w:t>6.</w:t>
      </w:r>
      <w:r>
        <w:rPr>
          <w:rFonts w:asciiTheme="majorHAnsi" w:hAnsiTheme="majorHAnsi" w:cs="Arial"/>
          <w:sz w:val="24"/>
          <w:szCs w:val="24"/>
        </w:rPr>
        <w:t>7</w:t>
      </w:r>
      <w:r w:rsidRPr="00A95590">
        <w:rPr>
          <w:rFonts w:asciiTheme="majorHAnsi" w:hAnsiTheme="majorHAnsi" w:cs="Arial"/>
          <w:sz w:val="24"/>
          <w:szCs w:val="24"/>
        </w:rPr>
        <w:t xml:space="preserve">%) had at </w:t>
      </w:r>
      <w:r>
        <w:rPr>
          <w:rFonts w:asciiTheme="majorHAnsi" w:hAnsiTheme="majorHAnsi" w:cs="Arial"/>
          <w:sz w:val="24"/>
          <w:szCs w:val="24"/>
        </w:rPr>
        <w:t>least one known risk factor</w:t>
      </w:r>
      <w:r w:rsidRPr="00A95590">
        <w:rPr>
          <w:rFonts w:asciiTheme="majorHAnsi" w:hAnsiTheme="majorHAnsi" w:cs="Arial"/>
          <w:sz w:val="24"/>
          <w:szCs w:val="24"/>
        </w:rPr>
        <w:t>.</w:t>
      </w:r>
      <w:r w:rsidRPr="00B73268">
        <w:rPr>
          <w:rFonts w:asciiTheme="majorHAnsi" w:hAnsiTheme="majorHAnsi" w:cs="Arial"/>
          <w:sz w:val="24"/>
          <w:szCs w:val="24"/>
        </w:rPr>
        <w:t xml:space="preserve"> </w:t>
      </w:r>
      <w:r w:rsidR="00DD5C1B">
        <w:rPr>
          <w:rFonts w:asciiTheme="majorHAnsi" w:hAnsiTheme="majorHAnsi" w:cs="Arial"/>
          <w:sz w:val="24"/>
          <w:szCs w:val="24"/>
        </w:rPr>
        <w:t>Twenty-two</w:t>
      </w:r>
      <w:r w:rsidR="00DD5C1B" w:rsidRPr="00A95590">
        <w:rPr>
          <w:rFonts w:asciiTheme="majorHAnsi" w:hAnsiTheme="majorHAnsi" w:cs="Arial"/>
          <w:sz w:val="24"/>
          <w:szCs w:val="24"/>
        </w:rPr>
        <w:t xml:space="preserve"> (</w:t>
      </w:r>
      <w:r w:rsidR="00DD5C1B">
        <w:rPr>
          <w:rFonts w:asciiTheme="majorHAnsi" w:hAnsiTheme="majorHAnsi" w:cs="Arial"/>
          <w:sz w:val="24"/>
          <w:szCs w:val="24"/>
        </w:rPr>
        <w:t>14</w:t>
      </w:r>
      <w:r w:rsidR="007B3621">
        <w:rPr>
          <w:rFonts w:asciiTheme="majorHAnsi" w:hAnsiTheme="majorHAnsi" w:cs="Arial"/>
          <w:sz w:val="24"/>
          <w:szCs w:val="24"/>
        </w:rPr>
        <w:t>.2</w:t>
      </w:r>
      <w:r w:rsidR="00DD5C1B" w:rsidRPr="00A95590">
        <w:rPr>
          <w:rFonts w:asciiTheme="majorHAnsi" w:hAnsiTheme="majorHAnsi" w:cs="Arial"/>
          <w:sz w:val="24"/>
          <w:szCs w:val="24"/>
        </w:rPr>
        <w:t xml:space="preserve">%) reported a history of packed red blood cell transfusion with a </w:t>
      </w:r>
      <w:r w:rsidR="00DD5C1B">
        <w:rPr>
          <w:rFonts w:asciiTheme="majorHAnsi" w:hAnsiTheme="majorHAnsi" w:cs="Arial"/>
          <w:sz w:val="24"/>
          <w:szCs w:val="24"/>
        </w:rPr>
        <w:t>total</w:t>
      </w:r>
      <w:r w:rsidR="00DD5C1B" w:rsidRPr="00A95590">
        <w:rPr>
          <w:rFonts w:asciiTheme="majorHAnsi" w:hAnsiTheme="majorHAnsi" w:cs="Arial"/>
          <w:sz w:val="24"/>
          <w:szCs w:val="24"/>
        </w:rPr>
        <w:t xml:space="preserve"> number of </w:t>
      </w:r>
      <w:r w:rsidR="00DD5C1B">
        <w:rPr>
          <w:rFonts w:asciiTheme="majorHAnsi" w:hAnsiTheme="majorHAnsi" w:cs="Arial"/>
          <w:sz w:val="24"/>
          <w:szCs w:val="24"/>
        </w:rPr>
        <w:t xml:space="preserve">29 transfused units (range 1 to 3). </w:t>
      </w:r>
      <w:r w:rsidRPr="00B73268">
        <w:rPr>
          <w:rFonts w:asciiTheme="majorHAnsi" w:hAnsiTheme="majorHAnsi" w:cs="Arial"/>
          <w:sz w:val="24"/>
          <w:szCs w:val="24"/>
        </w:rPr>
        <w:t xml:space="preserve">Fourteen participants received no or incomplete vaccine series (not accounted for by age less than recommended age of vaccination). Though 114 subjects completed the HBV series, 33 of these subjects lacked </w:t>
      </w:r>
      <w:r w:rsidRPr="00B73268">
        <w:rPr>
          <w:rFonts w:asciiTheme="majorHAnsi" w:hAnsiTheme="majorHAnsi" w:cs="Arial"/>
          <w:sz w:val="24"/>
          <w:szCs w:val="24"/>
        </w:rPr>
        <w:lastRenderedPageBreak/>
        <w:t>serologic protection to HBV. In total, 57 of 15</w:t>
      </w:r>
      <w:r w:rsidR="007B3621">
        <w:rPr>
          <w:rFonts w:asciiTheme="majorHAnsi" w:hAnsiTheme="majorHAnsi" w:cs="Arial"/>
          <w:sz w:val="24"/>
          <w:szCs w:val="24"/>
        </w:rPr>
        <w:t>5 (36.8</w:t>
      </w:r>
      <w:r w:rsidRPr="00B73268">
        <w:rPr>
          <w:rFonts w:asciiTheme="majorHAnsi" w:hAnsiTheme="majorHAnsi" w:cs="Arial"/>
          <w:sz w:val="24"/>
          <w:szCs w:val="24"/>
        </w:rPr>
        <w:t xml:space="preserve">%) </w:t>
      </w:r>
      <w:r w:rsidR="007170EB">
        <w:rPr>
          <w:rFonts w:asciiTheme="majorHAnsi" w:hAnsiTheme="majorHAnsi" w:cs="Arial"/>
          <w:sz w:val="24"/>
          <w:szCs w:val="24"/>
        </w:rPr>
        <w:t>participants</w:t>
      </w:r>
      <w:r w:rsidR="007170EB" w:rsidRPr="00B73268">
        <w:rPr>
          <w:rFonts w:asciiTheme="majorHAnsi" w:hAnsiTheme="majorHAnsi" w:cs="Arial"/>
          <w:sz w:val="24"/>
          <w:szCs w:val="24"/>
        </w:rPr>
        <w:t xml:space="preserve"> </w:t>
      </w:r>
      <w:r w:rsidRPr="00B73268">
        <w:rPr>
          <w:rFonts w:asciiTheme="majorHAnsi" w:hAnsiTheme="majorHAnsi" w:cs="Arial"/>
          <w:sz w:val="24"/>
          <w:szCs w:val="24"/>
        </w:rPr>
        <w:t>lacked serologic protection to HBV. In the naive group, potential risk factors for infection included past history of travel outside of Canada (</w:t>
      </w:r>
      <w:r w:rsidRPr="00123165">
        <w:rPr>
          <w:rFonts w:asciiTheme="majorHAnsi" w:hAnsiTheme="majorHAnsi" w:cs="Arial"/>
          <w:i/>
          <w:sz w:val="24"/>
          <w:szCs w:val="24"/>
        </w:rPr>
        <w:t>n</w:t>
      </w:r>
      <w:r w:rsidRPr="00B73268">
        <w:rPr>
          <w:rFonts w:asciiTheme="majorHAnsi" w:hAnsiTheme="majorHAnsi" w:cs="Arial"/>
          <w:sz w:val="24"/>
          <w:szCs w:val="24"/>
        </w:rPr>
        <w:t>=49), blood transfusion (</w:t>
      </w:r>
      <w:r w:rsidRPr="00123165">
        <w:rPr>
          <w:rFonts w:asciiTheme="majorHAnsi" w:hAnsiTheme="majorHAnsi" w:cs="Arial"/>
          <w:i/>
          <w:sz w:val="24"/>
          <w:szCs w:val="24"/>
        </w:rPr>
        <w:t>n</w:t>
      </w:r>
      <w:r w:rsidRPr="00B73268">
        <w:rPr>
          <w:rFonts w:asciiTheme="majorHAnsi" w:hAnsiTheme="majorHAnsi" w:cs="Arial"/>
          <w:sz w:val="24"/>
          <w:szCs w:val="24"/>
        </w:rPr>
        <w:t>=8), and body piercing (</w:t>
      </w:r>
      <w:r w:rsidRPr="00123165">
        <w:rPr>
          <w:rFonts w:asciiTheme="majorHAnsi" w:hAnsiTheme="majorHAnsi" w:cs="Arial"/>
          <w:i/>
          <w:sz w:val="24"/>
          <w:szCs w:val="24"/>
        </w:rPr>
        <w:t>n</w:t>
      </w:r>
      <w:r w:rsidRPr="00B73268">
        <w:rPr>
          <w:rFonts w:asciiTheme="majorHAnsi" w:hAnsiTheme="majorHAnsi" w:cs="Arial"/>
          <w:sz w:val="24"/>
          <w:szCs w:val="24"/>
        </w:rPr>
        <w:t xml:space="preserve">=15). </w:t>
      </w:r>
    </w:p>
    <w:p w:rsidR="00347CBA" w:rsidRDefault="00B73268" w:rsidP="007B3621">
      <w:pPr>
        <w:spacing w:line="480" w:lineRule="auto"/>
        <w:ind w:firstLine="720"/>
        <w:jc w:val="both"/>
        <w:rPr>
          <w:rFonts w:asciiTheme="majorHAnsi" w:hAnsiTheme="majorHAnsi" w:cs="Arial"/>
          <w:sz w:val="24"/>
          <w:szCs w:val="24"/>
        </w:rPr>
      </w:pPr>
      <w:r w:rsidRPr="00B73268">
        <w:rPr>
          <w:rFonts w:asciiTheme="majorHAnsi" w:hAnsiTheme="majorHAnsi" w:cs="Arial"/>
          <w:sz w:val="24"/>
          <w:szCs w:val="24"/>
        </w:rPr>
        <w:t xml:space="preserve">For </w:t>
      </w:r>
      <w:r>
        <w:rPr>
          <w:rFonts w:asciiTheme="majorHAnsi" w:hAnsiTheme="majorHAnsi" w:cs="Arial"/>
          <w:sz w:val="24"/>
          <w:szCs w:val="24"/>
        </w:rPr>
        <w:t>hepatitis A</w:t>
      </w:r>
      <w:r w:rsidRPr="00B73268">
        <w:rPr>
          <w:rFonts w:asciiTheme="majorHAnsi" w:hAnsiTheme="majorHAnsi" w:cs="Arial"/>
          <w:sz w:val="24"/>
          <w:szCs w:val="24"/>
        </w:rPr>
        <w:t xml:space="preserve">, 9 </w:t>
      </w:r>
      <w:r w:rsidR="007170EB">
        <w:rPr>
          <w:rFonts w:asciiTheme="majorHAnsi" w:hAnsiTheme="majorHAnsi" w:cs="Arial"/>
          <w:sz w:val="24"/>
          <w:szCs w:val="24"/>
        </w:rPr>
        <w:t>participants</w:t>
      </w:r>
      <w:r w:rsidR="007170EB" w:rsidRPr="00B73268">
        <w:rPr>
          <w:rFonts w:asciiTheme="majorHAnsi" w:hAnsiTheme="majorHAnsi" w:cs="Arial"/>
          <w:sz w:val="24"/>
          <w:szCs w:val="24"/>
        </w:rPr>
        <w:t xml:space="preserve"> </w:t>
      </w:r>
      <w:r w:rsidRPr="00B73268">
        <w:rPr>
          <w:rFonts w:asciiTheme="majorHAnsi" w:hAnsiTheme="majorHAnsi" w:cs="Arial"/>
          <w:sz w:val="24"/>
          <w:szCs w:val="24"/>
        </w:rPr>
        <w:t xml:space="preserve">completed the HAV series and all mounted serologic protection. Interestingly, 22 of 137 subjects with no prior HAV vaccination mounted serologic protection to HAV; though 18 of these </w:t>
      </w:r>
      <w:r w:rsidR="007170EB">
        <w:rPr>
          <w:rFonts w:asciiTheme="majorHAnsi" w:hAnsiTheme="majorHAnsi" w:cs="Arial"/>
          <w:sz w:val="24"/>
          <w:szCs w:val="24"/>
        </w:rPr>
        <w:t>participants</w:t>
      </w:r>
      <w:r w:rsidR="007170EB" w:rsidRPr="00B73268">
        <w:rPr>
          <w:rFonts w:asciiTheme="majorHAnsi" w:hAnsiTheme="majorHAnsi" w:cs="Arial"/>
          <w:sz w:val="24"/>
          <w:szCs w:val="24"/>
        </w:rPr>
        <w:t xml:space="preserve"> </w:t>
      </w:r>
      <w:r w:rsidRPr="00B73268">
        <w:rPr>
          <w:rFonts w:asciiTheme="majorHAnsi" w:hAnsiTheme="majorHAnsi" w:cs="Arial"/>
          <w:sz w:val="24"/>
          <w:szCs w:val="24"/>
        </w:rPr>
        <w:t xml:space="preserve">were born in Canada, all 22 </w:t>
      </w:r>
      <w:r w:rsidR="007170EB">
        <w:rPr>
          <w:rFonts w:asciiTheme="majorHAnsi" w:hAnsiTheme="majorHAnsi" w:cs="Arial"/>
          <w:sz w:val="24"/>
          <w:szCs w:val="24"/>
        </w:rPr>
        <w:t>participants</w:t>
      </w:r>
      <w:r w:rsidR="007170EB" w:rsidRPr="00B73268">
        <w:rPr>
          <w:rFonts w:asciiTheme="majorHAnsi" w:hAnsiTheme="majorHAnsi" w:cs="Arial"/>
          <w:sz w:val="24"/>
          <w:szCs w:val="24"/>
        </w:rPr>
        <w:t xml:space="preserve"> </w:t>
      </w:r>
      <w:r w:rsidRPr="00B73268">
        <w:rPr>
          <w:rFonts w:asciiTheme="majorHAnsi" w:hAnsiTheme="majorHAnsi" w:cs="Arial"/>
          <w:sz w:val="24"/>
          <w:szCs w:val="24"/>
        </w:rPr>
        <w:t>had travelled outside of Canada.</w:t>
      </w:r>
    </w:p>
    <w:tbl>
      <w:tblPr>
        <w:tblW w:w="10648" w:type="dxa"/>
        <w:jc w:val="center"/>
        <w:tblInd w:w="108" w:type="dxa"/>
        <w:tblLook w:val="04A0"/>
      </w:tblPr>
      <w:tblGrid>
        <w:gridCol w:w="1488"/>
        <w:gridCol w:w="549"/>
        <w:gridCol w:w="920"/>
        <w:gridCol w:w="549"/>
        <w:gridCol w:w="1031"/>
        <w:gridCol w:w="523"/>
        <w:gridCol w:w="920"/>
        <w:gridCol w:w="261"/>
        <w:gridCol w:w="549"/>
        <w:gridCol w:w="920"/>
        <w:gridCol w:w="549"/>
        <w:gridCol w:w="1031"/>
        <w:gridCol w:w="438"/>
        <w:gridCol w:w="920"/>
      </w:tblGrid>
      <w:tr w:rsidR="007B3621" w:rsidRPr="007B3621" w:rsidTr="007170EB">
        <w:trPr>
          <w:trHeight w:val="330"/>
          <w:jc w:val="center"/>
        </w:trPr>
        <w:tc>
          <w:tcPr>
            <w:tcW w:w="10648" w:type="dxa"/>
            <w:gridSpan w:val="14"/>
            <w:tcBorders>
              <w:top w:val="single" w:sz="12" w:space="0" w:color="auto"/>
              <w:left w:val="nil"/>
              <w:bottom w:val="single" w:sz="12" w:space="0" w:color="auto"/>
              <w:right w:val="nil"/>
            </w:tcBorders>
            <w:shd w:val="clear" w:color="auto" w:fill="auto"/>
            <w:noWrap/>
            <w:vAlign w:val="bottom"/>
            <w:hideMark/>
          </w:tcPr>
          <w:p w:rsidR="007B3621" w:rsidRPr="007B3621" w:rsidRDefault="007B3621" w:rsidP="00420500">
            <w:pPr>
              <w:spacing w:after="0" w:line="360" w:lineRule="auto"/>
              <w:rPr>
                <w:rFonts w:eastAsia="Times New Roman"/>
                <w:b/>
                <w:bCs/>
                <w:color w:val="000000"/>
                <w:sz w:val="20"/>
                <w:szCs w:val="20"/>
                <w:lang w:eastAsia="zh-TW"/>
              </w:rPr>
            </w:pPr>
            <w:r w:rsidRPr="007B3621">
              <w:rPr>
                <w:rFonts w:eastAsia="Times New Roman"/>
                <w:b/>
                <w:bCs/>
                <w:color w:val="000000"/>
                <w:sz w:val="20"/>
                <w:szCs w:val="20"/>
                <w:lang w:eastAsia="zh-TW"/>
              </w:rPr>
              <w:t>Table 3. Vaccination Protective Status</w:t>
            </w:r>
          </w:p>
        </w:tc>
      </w:tr>
      <w:tr w:rsidR="007B3621" w:rsidRPr="007B3621" w:rsidTr="007170EB">
        <w:trPr>
          <w:trHeight w:val="270"/>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p>
        </w:tc>
        <w:tc>
          <w:tcPr>
            <w:tcW w:w="4492" w:type="dxa"/>
            <w:gridSpan w:val="6"/>
            <w:tcBorders>
              <w:top w:val="nil"/>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Up to date</w:t>
            </w:r>
          </w:p>
        </w:tc>
        <w:tc>
          <w:tcPr>
            <w:tcW w:w="26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p>
        </w:tc>
        <w:tc>
          <w:tcPr>
            <w:tcW w:w="4407" w:type="dxa"/>
            <w:gridSpan w:val="6"/>
            <w:tcBorders>
              <w:top w:val="nil"/>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Not up to date</w:t>
            </w:r>
          </w:p>
        </w:tc>
      </w:tr>
      <w:tr w:rsidR="007B3621" w:rsidRPr="007B3621" w:rsidTr="007170EB">
        <w:trPr>
          <w:trHeight w:val="255"/>
          <w:jc w:val="center"/>
        </w:trPr>
        <w:tc>
          <w:tcPr>
            <w:tcW w:w="1488" w:type="dxa"/>
            <w:tcBorders>
              <w:top w:val="nil"/>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xml:space="preserve">Vaccinations, </w:t>
            </w:r>
            <w:r w:rsidRPr="007B3621">
              <w:rPr>
                <w:rFonts w:ascii="Cambria" w:eastAsia="Times New Roman" w:hAnsi="Cambria"/>
                <w:i/>
                <w:iCs/>
                <w:color w:val="000000"/>
                <w:sz w:val="20"/>
                <w:szCs w:val="20"/>
                <w:lang w:eastAsia="zh-TW"/>
              </w:rPr>
              <w:t xml:space="preserve">n </w:t>
            </w:r>
            <w:r w:rsidRPr="007B3621">
              <w:rPr>
                <w:rFonts w:ascii="Cambria" w:eastAsia="Times New Roman" w:hAnsi="Cambria"/>
                <w:color w:val="000000"/>
                <w:sz w:val="20"/>
                <w:szCs w:val="20"/>
                <w:lang w:eastAsia="zh-TW"/>
              </w:rPr>
              <w:t>(%)</w:t>
            </w:r>
          </w:p>
        </w:tc>
        <w:tc>
          <w:tcPr>
            <w:tcW w:w="1469" w:type="dxa"/>
            <w:gridSpan w:val="2"/>
            <w:tcBorders>
              <w:top w:val="nil"/>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i/>
                <w:iCs/>
                <w:color w:val="000000"/>
                <w:sz w:val="20"/>
                <w:szCs w:val="20"/>
                <w:lang w:eastAsia="zh-TW"/>
              </w:rPr>
              <w:t>n</w:t>
            </w:r>
            <w:r w:rsidRPr="007B3621">
              <w:rPr>
                <w:rFonts w:ascii="Cambria" w:eastAsia="Times New Roman" w:hAnsi="Cambria"/>
                <w:color w:val="000000"/>
                <w:sz w:val="20"/>
                <w:szCs w:val="20"/>
                <w:lang w:eastAsia="zh-TW"/>
              </w:rPr>
              <w:t xml:space="preserve"> =152</w:t>
            </w:r>
          </w:p>
        </w:tc>
        <w:tc>
          <w:tcPr>
            <w:tcW w:w="1580" w:type="dxa"/>
            <w:gridSpan w:val="2"/>
            <w:tcBorders>
              <w:top w:val="single" w:sz="4" w:space="0" w:color="auto"/>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Complete (series)</w:t>
            </w:r>
          </w:p>
        </w:tc>
        <w:tc>
          <w:tcPr>
            <w:tcW w:w="14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Complete for age</w:t>
            </w:r>
          </w:p>
        </w:tc>
        <w:tc>
          <w:tcPr>
            <w:tcW w:w="261" w:type="dxa"/>
            <w:tcBorders>
              <w:top w:val="single" w:sz="4" w:space="0" w:color="auto"/>
              <w:left w:val="nil"/>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1469" w:type="dxa"/>
            <w:gridSpan w:val="2"/>
            <w:tcBorders>
              <w:top w:val="nil"/>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i/>
                <w:iCs/>
                <w:color w:val="000000"/>
                <w:sz w:val="20"/>
                <w:szCs w:val="20"/>
                <w:lang w:eastAsia="zh-TW"/>
              </w:rPr>
              <w:t>n</w:t>
            </w:r>
            <w:r w:rsidRPr="007B3621">
              <w:rPr>
                <w:rFonts w:ascii="Cambria" w:eastAsia="Times New Roman" w:hAnsi="Cambria"/>
                <w:color w:val="000000"/>
                <w:sz w:val="20"/>
                <w:szCs w:val="20"/>
                <w:lang w:eastAsia="zh-TW"/>
              </w:rPr>
              <w:t xml:space="preserve"> =152</w:t>
            </w:r>
          </w:p>
        </w:tc>
        <w:tc>
          <w:tcPr>
            <w:tcW w:w="1580" w:type="dxa"/>
            <w:gridSpan w:val="2"/>
            <w:tcBorders>
              <w:top w:val="single" w:sz="4" w:space="0" w:color="auto"/>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No Doses</w:t>
            </w:r>
          </w:p>
        </w:tc>
        <w:tc>
          <w:tcPr>
            <w:tcW w:w="1358" w:type="dxa"/>
            <w:gridSpan w:val="2"/>
            <w:tcBorders>
              <w:top w:val="single" w:sz="4" w:space="0" w:color="auto"/>
              <w:left w:val="nil"/>
              <w:bottom w:val="single" w:sz="4" w:space="0" w:color="auto"/>
              <w:right w:val="nil"/>
            </w:tcBorders>
            <w:shd w:val="clear" w:color="auto" w:fill="auto"/>
            <w:noWrap/>
            <w:vAlign w:val="bottom"/>
            <w:hideMark/>
          </w:tcPr>
          <w:p w:rsidR="007B3621" w:rsidRPr="007B3621" w:rsidRDefault="007B3621" w:rsidP="00420500">
            <w:pPr>
              <w:spacing w:after="0" w:line="360" w:lineRule="auto"/>
              <w:jc w:val="center"/>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Partial (Series)</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MMR</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142</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(93.4%)</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139</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(97.9%)</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3</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(2.1%)</w:t>
            </w:r>
          </w:p>
        </w:tc>
        <w:tc>
          <w:tcPr>
            <w:tcW w:w="261" w:type="dxa"/>
            <w:tcBorders>
              <w:top w:val="nil"/>
              <w:left w:val="single" w:sz="4" w:space="0" w:color="auto"/>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10</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(6.6%)</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(50.0%)</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(50.0%)</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proofErr w:type="spellStart"/>
            <w:r w:rsidRPr="007B3621">
              <w:rPr>
                <w:rFonts w:ascii="Cambria" w:eastAsia="Times New Roman" w:hAnsi="Cambria"/>
                <w:color w:val="000000"/>
                <w:sz w:val="20"/>
                <w:szCs w:val="20"/>
                <w:lang w:eastAsia="zh-TW"/>
              </w:rPr>
              <w:t>DTaP</w:t>
            </w:r>
            <w:proofErr w:type="spellEnd"/>
            <w:r w:rsidRPr="007B3621">
              <w:rPr>
                <w:rFonts w:ascii="Cambria" w:eastAsia="Times New Roman" w:hAnsi="Cambria"/>
                <w:color w:val="000000"/>
                <w:sz w:val="20"/>
                <w:szCs w:val="20"/>
                <w:lang w:eastAsia="zh-TW"/>
              </w:rPr>
              <w:t>-IPV-</w:t>
            </w:r>
            <w:proofErr w:type="spellStart"/>
            <w:r w:rsidRPr="007B3621">
              <w:rPr>
                <w:rFonts w:ascii="Cambria" w:eastAsia="Times New Roman" w:hAnsi="Cambria"/>
                <w:color w:val="000000"/>
                <w:sz w:val="20"/>
                <w:szCs w:val="20"/>
                <w:lang w:eastAsia="zh-TW"/>
              </w:rPr>
              <w:t>Hib</w:t>
            </w:r>
            <w:proofErr w:type="spellEnd"/>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130</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(85.5%)</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73</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(56.2%)</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57</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(43.8%)</w:t>
            </w:r>
          </w:p>
        </w:tc>
        <w:tc>
          <w:tcPr>
            <w:tcW w:w="261" w:type="dxa"/>
            <w:tcBorders>
              <w:top w:val="nil"/>
              <w:left w:val="single" w:sz="4" w:space="0" w:color="auto"/>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22</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(14.5%)</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(4.5%)</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21</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(95.5%)</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HBV</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127</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(83.6%)</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114</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(89.8%)</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(10.2%)</w:t>
            </w:r>
          </w:p>
        </w:tc>
        <w:tc>
          <w:tcPr>
            <w:tcW w:w="261" w:type="dxa"/>
            <w:tcBorders>
              <w:top w:val="nil"/>
              <w:left w:val="single" w:sz="4" w:space="0" w:color="auto"/>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25</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(16.4%)</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14</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(56.0%)</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11</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(44.0%)</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HAV</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(8.6%)</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(69.2%)</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(30.8%)</w:t>
            </w:r>
          </w:p>
        </w:tc>
        <w:tc>
          <w:tcPr>
            <w:tcW w:w="261" w:type="dxa"/>
            <w:tcBorders>
              <w:top w:val="nil"/>
              <w:left w:val="single" w:sz="4" w:space="0" w:color="auto"/>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139</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(91.4%)</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137</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(98.6%)</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(1.4%)</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VZV</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142</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(93.4%)</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60</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(42.3%)</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*85</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(60.0%)</w:t>
            </w:r>
          </w:p>
        </w:tc>
        <w:tc>
          <w:tcPr>
            <w:tcW w:w="261" w:type="dxa"/>
            <w:tcBorders>
              <w:top w:val="nil"/>
              <w:left w:val="single" w:sz="4" w:space="0" w:color="auto"/>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10</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(6.6%)</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10</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(100.0%)</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0</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PCV13</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17</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(11.2%)</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16</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(94.1%)</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(5.9%)</w:t>
            </w:r>
          </w:p>
        </w:tc>
        <w:tc>
          <w:tcPr>
            <w:tcW w:w="261" w:type="dxa"/>
            <w:tcBorders>
              <w:top w:val="nil"/>
              <w:left w:val="single" w:sz="4" w:space="0" w:color="auto"/>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135</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(88.8%)</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135</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(100.0%)</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0</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Men C</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111</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(73.0%)</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111</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(100.0%)</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0</w:t>
            </w:r>
          </w:p>
        </w:tc>
        <w:tc>
          <w:tcPr>
            <w:tcW w:w="261" w:type="dxa"/>
            <w:tcBorders>
              <w:top w:val="nil"/>
              <w:left w:val="single" w:sz="4" w:space="0" w:color="auto"/>
              <w:bottom w:val="nil"/>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41</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(27.0%)</w:t>
            </w:r>
          </w:p>
        </w:tc>
        <w:tc>
          <w:tcPr>
            <w:tcW w:w="549" w:type="dxa"/>
            <w:tcBorders>
              <w:top w:val="nil"/>
              <w:left w:val="single" w:sz="4" w:space="0" w:color="auto"/>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36</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(87.8%)</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(12.2%)</w:t>
            </w:r>
          </w:p>
        </w:tc>
      </w:tr>
      <w:tr w:rsidR="007B3621" w:rsidRPr="007B3621" w:rsidTr="007170EB">
        <w:trPr>
          <w:trHeight w:val="255"/>
          <w:jc w:val="center"/>
        </w:trPr>
        <w:tc>
          <w:tcPr>
            <w:tcW w:w="148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HPV</w:t>
            </w:r>
            <w:r w:rsidRPr="007B3621">
              <w:rPr>
                <w:rFonts w:ascii="Cambria" w:eastAsia="Times New Roman" w:hAnsi="Cambria"/>
                <w:color w:val="000000"/>
                <w:sz w:val="20"/>
                <w:szCs w:val="20"/>
                <w:vertAlign w:val="superscript"/>
                <w:lang w:eastAsia="zh-TW"/>
              </w:rPr>
              <w:t>§</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41</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(58.6%)</w:t>
            </w:r>
          </w:p>
        </w:tc>
        <w:tc>
          <w:tcPr>
            <w:tcW w:w="549" w:type="dxa"/>
            <w:tcBorders>
              <w:top w:val="nil"/>
              <w:left w:val="single" w:sz="4" w:space="0" w:color="auto"/>
              <w:bottom w:val="single" w:sz="4" w:space="0" w:color="auto"/>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21</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(51.2%)</w:t>
            </w:r>
          </w:p>
        </w:tc>
        <w:tc>
          <w:tcPr>
            <w:tcW w:w="523"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20</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(48.8%)</w:t>
            </w:r>
          </w:p>
        </w:tc>
        <w:tc>
          <w:tcPr>
            <w:tcW w:w="261" w:type="dxa"/>
            <w:tcBorders>
              <w:top w:val="nil"/>
              <w:left w:val="single" w:sz="4" w:space="0" w:color="auto"/>
              <w:bottom w:val="single" w:sz="4" w:space="0" w:color="auto"/>
              <w:right w:val="single" w:sz="4" w:space="0" w:color="auto"/>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w:t>
            </w:r>
          </w:p>
        </w:tc>
        <w:tc>
          <w:tcPr>
            <w:tcW w:w="549"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29</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(41.4%)</w:t>
            </w:r>
          </w:p>
        </w:tc>
        <w:tc>
          <w:tcPr>
            <w:tcW w:w="549" w:type="dxa"/>
            <w:tcBorders>
              <w:top w:val="nil"/>
              <w:left w:val="single" w:sz="4" w:space="0" w:color="auto"/>
              <w:bottom w:val="single" w:sz="4" w:space="0" w:color="auto"/>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25</w:t>
            </w:r>
          </w:p>
        </w:tc>
        <w:tc>
          <w:tcPr>
            <w:tcW w:w="1031"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(86.2%)</w:t>
            </w:r>
          </w:p>
        </w:tc>
        <w:tc>
          <w:tcPr>
            <w:tcW w:w="438"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jc w:val="right"/>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4</w:t>
            </w:r>
          </w:p>
        </w:tc>
        <w:tc>
          <w:tcPr>
            <w:tcW w:w="920" w:type="dxa"/>
            <w:tcBorders>
              <w:top w:val="nil"/>
              <w:left w:val="nil"/>
              <w:bottom w:val="nil"/>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(13.8%)</w:t>
            </w:r>
          </w:p>
        </w:tc>
      </w:tr>
      <w:tr w:rsidR="007B3621" w:rsidRPr="007B3621" w:rsidTr="007170EB">
        <w:trPr>
          <w:trHeight w:val="270"/>
          <w:jc w:val="center"/>
        </w:trPr>
        <w:tc>
          <w:tcPr>
            <w:tcW w:w="10648" w:type="dxa"/>
            <w:gridSpan w:val="14"/>
            <w:tcBorders>
              <w:top w:val="single" w:sz="4" w:space="0" w:color="auto"/>
              <w:left w:val="nil"/>
              <w:bottom w:val="single" w:sz="8" w:space="0" w:color="auto"/>
              <w:right w:val="nil"/>
            </w:tcBorders>
            <w:shd w:val="clear" w:color="auto" w:fill="auto"/>
            <w:noWrap/>
            <w:vAlign w:val="bottom"/>
            <w:hideMark/>
          </w:tcPr>
          <w:p w:rsidR="007B3621" w:rsidRPr="007B3621" w:rsidRDefault="007B3621" w:rsidP="00420500">
            <w:pPr>
              <w:spacing w:after="0" w:line="360" w:lineRule="auto"/>
              <w:rPr>
                <w:rFonts w:ascii="Cambria" w:eastAsia="Times New Roman" w:hAnsi="Cambria"/>
                <w:color w:val="000000"/>
                <w:sz w:val="20"/>
                <w:szCs w:val="20"/>
                <w:lang w:eastAsia="zh-TW"/>
              </w:rPr>
            </w:pPr>
            <w:r w:rsidRPr="007B3621">
              <w:rPr>
                <w:rFonts w:ascii="Cambria" w:eastAsia="Times New Roman" w:hAnsi="Cambria"/>
                <w:color w:val="000000"/>
                <w:sz w:val="20"/>
                <w:szCs w:val="20"/>
                <w:lang w:eastAsia="zh-TW"/>
              </w:rPr>
              <w:t xml:space="preserve">Complete (series)- received all scheduled doses; Complete for age- received all doses appropriate for age; No doses- zero doses received; Partial (series)- received ≥1 dose, still missing ≥1 dose; * 85 participants had previous infection history with 3 also receiving vaccinations; </w:t>
            </w:r>
            <w:r w:rsidRPr="007B3621">
              <w:rPr>
                <w:rFonts w:ascii="Cambria" w:eastAsia="Times New Roman" w:hAnsi="Cambria"/>
                <w:color w:val="000000"/>
                <w:sz w:val="20"/>
                <w:szCs w:val="20"/>
                <w:vertAlign w:val="superscript"/>
                <w:lang w:eastAsia="zh-TW"/>
              </w:rPr>
              <w:t>§</w:t>
            </w:r>
            <w:r w:rsidRPr="007B3621">
              <w:rPr>
                <w:rFonts w:ascii="Cambria" w:eastAsia="Times New Roman" w:hAnsi="Cambria"/>
                <w:color w:val="000000"/>
                <w:sz w:val="20"/>
                <w:szCs w:val="20"/>
                <w:lang w:eastAsia="zh-TW"/>
              </w:rPr>
              <w:t xml:space="preserve"> 70 female participants with valid immunization documentation</w:t>
            </w:r>
          </w:p>
        </w:tc>
      </w:tr>
    </w:tbl>
    <w:p w:rsidR="007B3621" w:rsidRPr="007B3621" w:rsidRDefault="007B3621" w:rsidP="00123165">
      <w:pPr>
        <w:spacing w:line="480" w:lineRule="auto"/>
        <w:ind w:firstLine="720"/>
        <w:jc w:val="both"/>
        <w:rPr>
          <w:rFonts w:asciiTheme="majorHAnsi" w:hAnsiTheme="majorHAnsi" w:cs="Arial"/>
          <w:sz w:val="24"/>
          <w:szCs w:val="24"/>
        </w:rPr>
      </w:pPr>
    </w:p>
    <w:p w:rsidR="00083109" w:rsidRDefault="00083109" w:rsidP="00B73268">
      <w:pPr>
        <w:autoSpaceDE w:val="0"/>
        <w:autoSpaceDN w:val="0"/>
        <w:adjustRightInd w:val="0"/>
        <w:spacing w:after="0" w:line="480" w:lineRule="auto"/>
        <w:rPr>
          <w:rFonts w:asciiTheme="minorHAnsi" w:hAnsiTheme="minorHAnsi" w:cs="Arial"/>
          <w:b/>
          <w:caps/>
          <w:spacing w:val="40"/>
          <w:sz w:val="24"/>
          <w:szCs w:val="24"/>
          <w:u w:val="single"/>
        </w:rPr>
      </w:pPr>
      <w:r w:rsidRPr="00597E47">
        <w:rPr>
          <w:rFonts w:asciiTheme="minorHAnsi" w:hAnsiTheme="minorHAnsi" w:cs="Arial"/>
          <w:b/>
          <w:caps/>
          <w:spacing w:val="40"/>
          <w:sz w:val="24"/>
          <w:szCs w:val="24"/>
          <w:u w:val="single"/>
        </w:rPr>
        <w:t>Discussion</w:t>
      </w:r>
    </w:p>
    <w:p w:rsidR="00B80779" w:rsidRDefault="007170EB" w:rsidP="00DA3DED">
      <w:pPr>
        <w:spacing w:after="0" w:line="480" w:lineRule="auto"/>
        <w:ind w:firstLine="720"/>
        <w:jc w:val="both"/>
        <w:rPr>
          <w:rFonts w:asciiTheme="majorHAnsi" w:hAnsiTheme="majorHAnsi"/>
          <w:sz w:val="24"/>
          <w:szCs w:val="24"/>
        </w:rPr>
      </w:pPr>
      <w:r>
        <w:rPr>
          <w:rFonts w:asciiTheme="majorHAnsi" w:hAnsiTheme="majorHAnsi"/>
          <w:sz w:val="24"/>
          <w:szCs w:val="24"/>
        </w:rPr>
        <w:t>Only 69.7</w:t>
      </w:r>
      <w:r w:rsidR="006F2B56">
        <w:rPr>
          <w:rFonts w:asciiTheme="majorHAnsi" w:hAnsiTheme="majorHAnsi"/>
          <w:sz w:val="24"/>
          <w:szCs w:val="24"/>
        </w:rPr>
        <w:t>% of the participants had the standard immuniz</w:t>
      </w:r>
      <w:r w:rsidR="00E65849">
        <w:rPr>
          <w:rFonts w:asciiTheme="majorHAnsi" w:hAnsiTheme="majorHAnsi"/>
          <w:sz w:val="24"/>
          <w:szCs w:val="24"/>
        </w:rPr>
        <w:t xml:space="preserve">ations (MMR, </w:t>
      </w:r>
      <w:proofErr w:type="spellStart"/>
      <w:r w:rsidR="00E65849">
        <w:rPr>
          <w:rFonts w:asciiTheme="majorHAnsi" w:hAnsiTheme="majorHAnsi"/>
          <w:sz w:val="24"/>
          <w:szCs w:val="24"/>
        </w:rPr>
        <w:t>DTap</w:t>
      </w:r>
      <w:proofErr w:type="spellEnd"/>
      <w:r w:rsidR="00E65849">
        <w:rPr>
          <w:rFonts w:asciiTheme="majorHAnsi" w:hAnsiTheme="majorHAnsi"/>
          <w:sz w:val="24"/>
          <w:szCs w:val="24"/>
        </w:rPr>
        <w:t>-IPV-</w:t>
      </w:r>
      <w:proofErr w:type="spellStart"/>
      <w:r w:rsidR="006F2B56">
        <w:rPr>
          <w:rFonts w:asciiTheme="majorHAnsi" w:hAnsiTheme="majorHAnsi"/>
          <w:sz w:val="24"/>
          <w:szCs w:val="24"/>
        </w:rPr>
        <w:t>Hib</w:t>
      </w:r>
      <w:proofErr w:type="spellEnd"/>
      <w:r w:rsidR="006F2B56">
        <w:rPr>
          <w:rFonts w:asciiTheme="majorHAnsi" w:hAnsiTheme="majorHAnsi"/>
          <w:sz w:val="24"/>
          <w:szCs w:val="24"/>
        </w:rPr>
        <w:t xml:space="preserve">, and HBV) up to date. </w:t>
      </w:r>
      <w:r w:rsidR="009B15BF">
        <w:rPr>
          <w:rFonts w:asciiTheme="majorHAnsi" w:hAnsiTheme="majorHAnsi"/>
          <w:sz w:val="24"/>
          <w:szCs w:val="24"/>
        </w:rPr>
        <w:t xml:space="preserve">Nearly a third of individuals in a high-risk group for more </w:t>
      </w:r>
      <w:r w:rsidR="009B15BF">
        <w:rPr>
          <w:rFonts w:asciiTheme="majorHAnsi" w:hAnsiTheme="majorHAnsi"/>
          <w:sz w:val="24"/>
          <w:szCs w:val="24"/>
        </w:rPr>
        <w:lastRenderedPageBreak/>
        <w:t xml:space="preserve">frequent and severe infections </w:t>
      </w:r>
      <w:r w:rsidR="00E42E05">
        <w:rPr>
          <w:rFonts w:asciiTheme="majorHAnsi" w:hAnsiTheme="majorHAnsi"/>
          <w:sz w:val="24"/>
          <w:szCs w:val="24"/>
        </w:rPr>
        <w:t>had</w:t>
      </w:r>
      <w:r w:rsidR="009B15BF">
        <w:rPr>
          <w:rFonts w:asciiTheme="majorHAnsi" w:hAnsiTheme="majorHAnsi"/>
          <w:sz w:val="24"/>
          <w:szCs w:val="24"/>
        </w:rPr>
        <w:t xml:space="preserve"> not received protection against vaccine- preventable diseases. </w:t>
      </w:r>
      <w:r w:rsidR="003D626B">
        <w:rPr>
          <w:rFonts w:asciiTheme="majorHAnsi" w:hAnsiTheme="majorHAnsi"/>
          <w:sz w:val="24"/>
          <w:szCs w:val="24"/>
        </w:rPr>
        <w:t>In general, the individuals with</w:t>
      </w:r>
      <w:r w:rsidR="00D71344">
        <w:rPr>
          <w:rFonts w:asciiTheme="majorHAnsi" w:hAnsiTheme="majorHAnsi"/>
          <w:sz w:val="24"/>
          <w:szCs w:val="24"/>
        </w:rPr>
        <w:t xml:space="preserve"> better access to vaccinations and less severe disease course had a greater proportion of the standard immunizations up to date. </w:t>
      </w:r>
      <w:r w:rsidR="00431BC8">
        <w:rPr>
          <w:rFonts w:asciiTheme="majorHAnsi" w:hAnsiTheme="majorHAnsi"/>
          <w:sz w:val="24"/>
          <w:szCs w:val="24"/>
        </w:rPr>
        <w:t>For</w:t>
      </w:r>
      <w:r w:rsidR="00D71344">
        <w:rPr>
          <w:rFonts w:asciiTheme="majorHAnsi" w:hAnsiTheme="majorHAnsi"/>
          <w:sz w:val="24"/>
          <w:szCs w:val="24"/>
        </w:rPr>
        <w:t xml:space="preserve"> t</w:t>
      </w:r>
      <w:r w:rsidR="003D626B">
        <w:rPr>
          <w:rFonts w:asciiTheme="majorHAnsi" w:hAnsiTheme="majorHAnsi"/>
          <w:sz w:val="24"/>
          <w:szCs w:val="24"/>
        </w:rPr>
        <w:t xml:space="preserve">he </w:t>
      </w:r>
      <w:r w:rsidR="00D71344">
        <w:rPr>
          <w:rFonts w:asciiTheme="majorHAnsi" w:hAnsiTheme="majorHAnsi"/>
          <w:sz w:val="24"/>
          <w:szCs w:val="24"/>
        </w:rPr>
        <w:t xml:space="preserve">individuals with the </w:t>
      </w:r>
      <w:r w:rsidR="003D626B">
        <w:rPr>
          <w:rFonts w:asciiTheme="majorHAnsi" w:hAnsiTheme="majorHAnsi"/>
          <w:sz w:val="24"/>
          <w:szCs w:val="24"/>
        </w:rPr>
        <w:t>standard immunizations up to date</w:t>
      </w:r>
      <w:r w:rsidR="00431BC8">
        <w:rPr>
          <w:rFonts w:asciiTheme="majorHAnsi" w:hAnsiTheme="majorHAnsi"/>
          <w:sz w:val="24"/>
          <w:szCs w:val="24"/>
        </w:rPr>
        <w:t>, they were in general</w:t>
      </w:r>
      <w:r w:rsidR="003D626B">
        <w:rPr>
          <w:rFonts w:asciiTheme="majorHAnsi" w:hAnsiTheme="majorHAnsi"/>
          <w:sz w:val="24"/>
          <w:szCs w:val="24"/>
        </w:rPr>
        <w:t xml:space="preserve"> </w:t>
      </w:r>
      <w:r w:rsidR="00431BC8">
        <w:rPr>
          <w:rFonts w:asciiTheme="majorHAnsi" w:hAnsiTheme="majorHAnsi"/>
          <w:sz w:val="24"/>
          <w:szCs w:val="24"/>
        </w:rPr>
        <w:t>older</w:t>
      </w:r>
      <w:r w:rsidR="003D626B">
        <w:rPr>
          <w:rFonts w:asciiTheme="majorHAnsi" w:hAnsiTheme="majorHAnsi"/>
          <w:sz w:val="24"/>
          <w:szCs w:val="24"/>
        </w:rPr>
        <w:t xml:space="preserve"> at diagnosis (median age of 12.6 versus 10.5 years)</w:t>
      </w:r>
      <w:r w:rsidR="00D71344">
        <w:rPr>
          <w:rFonts w:asciiTheme="majorHAnsi" w:hAnsiTheme="majorHAnsi"/>
          <w:sz w:val="24"/>
          <w:szCs w:val="24"/>
        </w:rPr>
        <w:t xml:space="preserve"> and born within Canada (94</w:t>
      </w:r>
      <w:r w:rsidR="00C9444A">
        <w:rPr>
          <w:rFonts w:asciiTheme="majorHAnsi" w:hAnsiTheme="majorHAnsi"/>
          <w:sz w:val="24"/>
          <w:szCs w:val="24"/>
        </w:rPr>
        <w:t>.3% versus 84.8</w:t>
      </w:r>
      <w:r w:rsidR="00D71344">
        <w:rPr>
          <w:rFonts w:asciiTheme="majorHAnsi" w:hAnsiTheme="majorHAnsi"/>
          <w:sz w:val="24"/>
          <w:szCs w:val="24"/>
        </w:rPr>
        <w:t xml:space="preserve">%). The </w:t>
      </w:r>
      <w:r w:rsidR="00431BC8">
        <w:rPr>
          <w:rFonts w:asciiTheme="majorHAnsi" w:hAnsiTheme="majorHAnsi"/>
          <w:sz w:val="24"/>
          <w:szCs w:val="24"/>
        </w:rPr>
        <w:t>older</w:t>
      </w:r>
      <w:r w:rsidR="00D71344">
        <w:rPr>
          <w:rFonts w:asciiTheme="majorHAnsi" w:hAnsiTheme="majorHAnsi"/>
          <w:sz w:val="24"/>
          <w:szCs w:val="24"/>
        </w:rPr>
        <w:t xml:space="preserve"> age of diagnosis suggests that </w:t>
      </w:r>
      <w:r w:rsidR="00431BC8">
        <w:rPr>
          <w:rFonts w:asciiTheme="majorHAnsi" w:hAnsiTheme="majorHAnsi"/>
          <w:sz w:val="24"/>
          <w:szCs w:val="24"/>
        </w:rPr>
        <w:t>fewer immunizations</w:t>
      </w:r>
      <w:r w:rsidR="00D71344">
        <w:rPr>
          <w:rFonts w:asciiTheme="majorHAnsi" w:hAnsiTheme="majorHAnsi"/>
          <w:sz w:val="24"/>
          <w:szCs w:val="24"/>
        </w:rPr>
        <w:t xml:space="preserve"> may have been deferred as a result of the onset of the disease. </w:t>
      </w:r>
      <w:r w:rsidR="00B80779">
        <w:rPr>
          <w:rFonts w:asciiTheme="majorHAnsi" w:hAnsiTheme="majorHAnsi"/>
          <w:sz w:val="24"/>
          <w:szCs w:val="24"/>
        </w:rPr>
        <w:t xml:space="preserve">As well, in general, children born in Canada have greater accessibility to </w:t>
      </w:r>
      <w:r w:rsidR="00431BC8">
        <w:rPr>
          <w:rFonts w:asciiTheme="majorHAnsi" w:hAnsiTheme="majorHAnsi"/>
          <w:sz w:val="24"/>
          <w:szCs w:val="24"/>
        </w:rPr>
        <w:t xml:space="preserve">medical care, </w:t>
      </w:r>
      <w:r w:rsidR="00B80779">
        <w:rPr>
          <w:rFonts w:asciiTheme="majorHAnsi" w:hAnsiTheme="majorHAnsi"/>
          <w:sz w:val="24"/>
          <w:szCs w:val="24"/>
        </w:rPr>
        <w:t xml:space="preserve">increased </w:t>
      </w:r>
      <w:r w:rsidR="00431BC8">
        <w:rPr>
          <w:rFonts w:asciiTheme="majorHAnsi" w:hAnsiTheme="majorHAnsi"/>
          <w:sz w:val="24"/>
          <w:szCs w:val="24"/>
        </w:rPr>
        <w:t>awareness</w:t>
      </w:r>
      <w:r w:rsidR="00B80779">
        <w:rPr>
          <w:rFonts w:asciiTheme="majorHAnsi" w:hAnsiTheme="majorHAnsi"/>
          <w:sz w:val="24"/>
          <w:szCs w:val="24"/>
        </w:rPr>
        <w:t xml:space="preserve"> of immunizations</w:t>
      </w:r>
      <w:r w:rsidR="00431BC8">
        <w:rPr>
          <w:rFonts w:asciiTheme="majorHAnsi" w:hAnsiTheme="majorHAnsi"/>
          <w:sz w:val="24"/>
          <w:szCs w:val="24"/>
        </w:rPr>
        <w:t xml:space="preserve"> and free routine child immunizations</w:t>
      </w:r>
      <w:r w:rsidR="00B80779">
        <w:rPr>
          <w:rFonts w:asciiTheme="majorHAnsi" w:hAnsiTheme="majorHAnsi"/>
          <w:sz w:val="24"/>
          <w:szCs w:val="24"/>
        </w:rPr>
        <w:t xml:space="preserve">. </w:t>
      </w:r>
      <w:r w:rsidR="00D71344">
        <w:rPr>
          <w:rFonts w:asciiTheme="majorHAnsi" w:hAnsiTheme="majorHAnsi"/>
          <w:sz w:val="24"/>
          <w:szCs w:val="24"/>
        </w:rPr>
        <w:t>In comparison, there were several trends suggesting a more severe disease course in the individuals who had not received the standard immunizations. A</w:t>
      </w:r>
      <w:r w:rsidR="003D626B">
        <w:rPr>
          <w:rFonts w:asciiTheme="majorHAnsi" w:hAnsiTheme="majorHAnsi"/>
          <w:sz w:val="24"/>
          <w:szCs w:val="24"/>
        </w:rPr>
        <w:t xml:space="preserve"> </w:t>
      </w:r>
      <w:r w:rsidR="00D71344">
        <w:rPr>
          <w:rFonts w:asciiTheme="majorHAnsi" w:hAnsiTheme="majorHAnsi"/>
          <w:sz w:val="24"/>
          <w:szCs w:val="24"/>
        </w:rPr>
        <w:t>greater</w:t>
      </w:r>
      <w:r w:rsidR="003D626B">
        <w:rPr>
          <w:rFonts w:asciiTheme="majorHAnsi" w:hAnsiTheme="majorHAnsi"/>
          <w:sz w:val="24"/>
          <w:szCs w:val="24"/>
        </w:rPr>
        <w:t xml:space="preserve"> proportion had a history of medical immunosuppression (</w:t>
      </w:r>
      <w:r w:rsidR="00C9444A">
        <w:rPr>
          <w:rFonts w:asciiTheme="majorHAnsi" w:hAnsiTheme="majorHAnsi"/>
          <w:sz w:val="24"/>
          <w:szCs w:val="24"/>
        </w:rPr>
        <w:t>84.8</w:t>
      </w:r>
      <w:r w:rsidR="003D626B">
        <w:rPr>
          <w:rFonts w:asciiTheme="majorHAnsi" w:hAnsiTheme="majorHAnsi"/>
          <w:sz w:val="24"/>
          <w:szCs w:val="24"/>
        </w:rPr>
        <w:t xml:space="preserve">% versus </w:t>
      </w:r>
      <w:r w:rsidR="00D71344">
        <w:rPr>
          <w:rFonts w:asciiTheme="majorHAnsi" w:hAnsiTheme="majorHAnsi"/>
          <w:sz w:val="24"/>
          <w:szCs w:val="24"/>
        </w:rPr>
        <w:t>76</w:t>
      </w:r>
      <w:r w:rsidR="00C9444A">
        <w:rPr>
          <w:rFonts w:asciiTheme="majorHAnsi" w:hAnsiTheme="majorHAnsi"/>
          <w:sz w:val="24"/>
          <w:szCs w:val="24"/>
        </w:rPr>
        <w:t>.4</w:t>
      </w:r>
      <w:r w:rsidR="00431BC8">
        <w:rPr>
          <w:rFonts w:asciiTheme="majorHAnsi" w:hAnsiTheme="majorHAnsi"/>
          <w:sz w:val="24"/>
          <w:szCs w:val="24"/>
        </w:rPr>
        <w:t>%</w:t>
      </w:r>
      <w:r w:rsidR="00B80779">
        <w:rPr>
          <w:rFonts w:asciiTheme="majorHAnsi" w:hAnsiTheme="majorHAnsi"/>
          <w:sz w:val="24"/>
          <w:szCs w:val="24"/>
        </w:rPr>
        <w:t>) and</w:t>
      </w:r>
      <w:r w:rsidR="00D71344">
        <w:rPr>
          <w:rFonts w:asciiTheme="majorHAnsi" w:hAnsiTheme="majorHAnsi"/>
          <w:sz w:val="24"/>
          <w:szCs w:val="24"/>
        </w:rPr>
        <w:t xml:space="preserve"> had</w:t>
      </w:r>
      <w:r w:rsidR="00C9444A">
        <w:rPr>
          <w:rFonts w:asciiTheme="majorHAnsi" w:hAnsiTheme="majorHAnsi"/>
          <w:sz w:val="24"/>
          <w:szCs w:val="24"/>
        </w:rPr>
        <w:t xml:space="preserve"> received blood transfusions (19.6</w:t>
      </w:r>
      <w:r w:rsidR="00D71344">
        <w:rPr>
          <w:rFonts w:asciiTheme="majorHAnsi" w:hAnsiTheme="majorHAnsi"/>
          <w:sz w:val="24"/>
          <w:szCs w:val="24"/>
        </w:rPr>
        <w:t>% versus 10</w:t>
      </w:r>
      <w:r w:rsidR="00C9444A">
        <w:rPr>
          <w:rFonts w:asciiTheme="majorHAnsi" w:hAnsiTheme="majorHAnsi"/>
          <w:sz w:val="24"/>
          <w:szCs w:val="24"/>
        </w:rPr>
        <w:t>.4</w:t>
      </w:r>
      <w:r w:rsidR="00D71344">
        <w:rPr>
          <w:rFonts w:asciiTheme="majorHAnsi" w:hAnsiTheme="majorHAnsi"/>
          <w:sz w:val="24"/>
          <w:szCs w:val="24"/>
        </w:rPr>
        <w:t xml:space="preserve">%), </w:t>
      </w:r>
      <w:r w:rsidR="00B80779">
        <w:rPr>
          <w:rFonts w:asciiTheme="majorHAnsi" w:hAnsiTheme="majorHAnsi"/>
          <w:sz w:val="24"/>
          <w:szCs w:val="24"/>
        </w:rPr>
        <w:t>M</w:t>
      </w:r>
      <w:r w:rsidR="00067FA4">
        <w:rPr>
          <w:rFonts w:asciiTheme="majorHAnsi" w:hAnsiTheme="majorHAnsi"/>
          <w:sz w:val="24"/>
          <w:szCs w:val="24"/>
        </w:rPr>
        <w:t>edical immunosuppression</w:t>
      </w:r>
      <w:r w:rsidR="00431BC8">
        <w:rPr>
          <w:rFonts w:asciiTheme="majorHAnsi" w:hAnsiTheme="majorHAnsi"/>
          <w:sz w:val="24"/>
          <w:szCs w:val="24"/>
        </w:rPr>
        <w:t xml:space="preserve"> </w:t>
      </w:r>
      <w:r w:rsidR="00067FA4">
        <w:rPr>
          <w:rFonts w:asciiTheme="majorHAnsi" w:hAnsiTheme="majorHAnsi"/>
          <w:sz w:val="24"/>
          <w:szCs w:val="24"/>
        </w:rPr>
        <w:t>may have acted as a deter</w:t>
      </w:r>
      <w:r w:rsidR="00B80779">
        <w:rPr>
          <w:rFonts w:asciiTheme="majorHAnsi" w:hAnsiTheme="majorHAnsi"/>
          <w:sz w:val="24"/>
          <w:szCs w:val="24"/>
        </w:rPr>
        <w:t>rent to receiving immunizations, and b</w:t>
      </w:r>
      <w:r w:rsidR="00D71344">
        <w:rPr>
          <w:rFonts w:asciiTheme="majorHAnsi" w:hAnsiTheme="majorHAnsi"/>
          <w:sz w:val="24"/>
          <w:szCs w:val="24"/>
        </w:rPr>
        <w:t>lood transfusions often indicate a more severe and acute disease course.</w:t>
      </w:r>
      <w:r w:rsidR="00B80779">
        <w:rPr>
          <w:rFonts w:asciiTheme="majorHAnsi" w:hAnsiTheme="majorHAnsi"/>
          <w:sz w:val="24"/>
          <w:szCs w:val="24"/>
        </w:rPr>
        <w:t xml:space="preserve"> Of note, there was also an increased prevalence of body piercings and tattoos in individuals with up to date </w:t>
      </w:r>
      <w:r w:rsidR="00431BC8">
        <w:rPr>
          <w:rFonts w:asciiTheme="majorHAnsi" w:hAnsiTheme="majorHAnsi"/>
          <w:sz w:val="24"/>
          <w:szCs w:val="24"/>
        </w:rPr>
        <w:t xml:space="preserve">standard </w:t>
      </w:r>
      <w:r w:rsidR="00B80779">
        <w:rPr>
          <w:rFonts w:asciiTheme="majorHAnsi" w:hAnsiTheme="majorHAnsi"/>
          <w:sz w:val="24"/>
          <w:szCs w:val="24"/>
        </w:rPr>
        <w:t>immunizations. However, this is most likely corresponding to the greater age of that group and more opportunity to acquire body piercings and tattoos.</w:t>
      </w:r>
    </w:p>
    <w:p w:rsidR="00B63C0C" w:rsidRDefault="00C9444A" w:rsidP="00DA3DED">
      <w:pPr>
        <w:spacing w:after="0" w:line="480" w:lineRule="auto"/>
        <w:ind w:firstLine="720"/>
        <w:jc w:val="both"/>
        <w:rPr>
          <w:rFonts w:asciiTheme="majorHAnsi" w:hAnsiTheme="majorHAnsi"/>
          <w:sz w:val="24"/>
          <w:szCs w:val="24"/>
        </w:rPr>
      </w:pPr>
      <w:r>
        <w:rPr>
          <w:rFonts w:asciiTheme="majorHAnsi" w:hAnsiTheme="majorHAnsi"/>
          <w:sz w:val="24"/>
          <w:szCs w:val="24"/>
        </w:rPr>
        <w:t xml:space="preserve">Ten </w:t>
      </w:r>
      <w:r w:rsidR="00067FA4">
        <w:rPr>
          <w:rFonts w:asciiTheme="majorHAnsi" w:hAnsiTheme="majorHAnsi"/>
          <w:sz w:val="24"/>
          <w:szCs w:val="24"/>
        </w:rPr>
        <w:t xml:space="preserve">participants </w:t>
      </w:r>
      <w:r w:rsidR="00AD41B8">
        <w:rPr>
          <w:rFonts w:asciiTheme="majorHAnsi" w:hAnsiTheme="majorHAnsi"/>
          <w:sz w:val="24"/>
          <w:szCs w:val="24"/>
        </w:rPr>
        <w:t xml:space="preserve">(6.5%) </w:t>
      </w:r>
      <w:r w:rsidR="00067FA4">
        <w:rPr>
          <w:rFonts w:asciiTheme="majorHAnsi" w:hAnsiTheme="majorHAnsi"/>
          <w:sz w:val="24"/>
          <w:szCs w:val="24"/>
        </w:rPr>
        <w:t xml:space="preserve">did not have either previous exposure to the varicella infection or immunizations. The number of children without any serologic protection to the varicella virus is very alarming as infection </w:t>
      </w:r>
      <w:r w:rsidR="002D4C15">
        <w:rPr>
          <w:rFonts w:asciiTheme="majorHAnsi" w:hAnsiTheme="majorHAnsi"/>
          <w:sz w:val="24"/>
          <w:szCs w:val="24"/>
        </w:rPr>
        <w:t xml:space="preserve">at an older age </w:t>
      </w:r>
      <w:r w:rsidR="00EC31FE">
        <w:rPr>
          <w:rFonts w:asciiTheme="majorHAnsi" w:hAnsiTheme="majorHAnsi"/>
          <w:sz w:val="24"/>
          <w:szCs w:val="24"/>
        </w:rPr>
        <w:t>tends to be more severe</w:t>
      </w:r>
      <w:r w:rsidR="00067FA4">
        <w:rPr>
          <w:rFonts w:asciiTheme="majorHAnsi" w:hAnsiTheme="majorHAnsi"/>
          <w:sz w:val="24"/>
          <w:szCs w:val="24"/>
        </w:rPr>
        <w:t>. T</w:t>
      </w:r>
      <w:r w:rsidR="003D626B">
        <w:rPr>
          <w:rFonts w:asciiTheme="majorHAnsi" w:hAnsiTheme="majorHAnsi"/>
          <w:sz w:val="24"/>
          <w:szCs w:val="24"/>
        </w:rPr>
        <w:t>he low proportion of patients with IBD with up to date vaccinations</w:t>
      </w:r>
      <w:r w:rsidR="00067FA4">
        <w:rPr>
          <w:rFonts w:asciiTheme="majorHAnsi" w:hAnsiTheme="majorHAnsi"/>
          <w:sz w:val="24"/>
          <w:szCs w:val="24"/>
        </w:rPr>
        <w:t xml:space="preserve"> in general</w:t>
      </w:r>
      <w:r w:rsidR="003D626B">
        <w:rPr>
          <w:rFonts w:asciiTheme="majorHAnsi" w:hAnsiTheme="majorHAnsi"/>
          <w:sz w:val="24"/>
          <w:szCs w:val="24"/>
        </w:rPr>
        <w:t xml:space="preserve"> demonstrates the necessity for medical staff and caregivers to address the risk of infections and benefits of immunizations. Adherence to the recommended immunization schedule is especially </w:t>
      </w:r>
      <w:r w:rsidR="003D626B">
        <w:rPr>
          <w:rFonts w:asciiTheme="majorHAnsi" w:hAnsiTheme="majorHAnsi"/>
          <w:sz w:val="24"/>
          <w:szCs w:val="24"/>
        </w:rPr>
        <w:lastRenderedPageBreak/>
        <w:t>important for those patients who are medically immunocompromised or at a higher risk of infection.</w:t>
      </w:r>
    </w:p>
    <w:p w:rsidR="00EC31FE" w:rsidRPr="00C9444A" w:rsidRDefault="003D626B" w:rsidP="00DA3DED">
      <w:pPr>
        <w:spacing w:after="0" w:line="480" w:lineRule="auto"/>
        <w:ind w:firstLine="720"/>
        <w:jc w:val="both"/>
        <w:rPr>
          <w:rFonts w:asciiTheme="majorHAnsi" w:hAnsiTheme="majorHAnsi"/>
          <w:sz w:val="24"/>
          <w:szCs w:val="24"/>
        </w:rPr>
      </w:pPr>
      <w:r>
        <w:rPr>
          <w:rFonts w:asciiTheme="majorHAnsi" w:hAnsiTheme="majorHAnsi"/>
          <w:sz w:val="24"/>
          <w:szCs w:val="24"/>
        </w:rPr>
        <w:t xml:space="preserve">A high proportion of individuals received the hepatitis B </w:t>
      </w:r>
      <w:proofErr w:type="gramStart"/>
      <w:r>
        <w:rPr>
          <w:rFonts w:asciiTheme="majorHAnsi" w:hAnsiTheme="majorHAnsi"/>
          <w:sz w:val="24"/>
          <w:szCs w:val="24"/>
        </w:rPr>
        <w:t>vaccine,</w:t>
      </w:r>
      <w:proofErr w:type="gramEnd"/>
      <w:r>
        <w:rPr>
          <w:rFonts w:asciiTheme="majorHAnsi" w:hAnsiTheme="majorHAnsi"/>
          <w:sz w:val="24"/>
          <w:szCs w:val="24"/>
        </w:rPr>
        <w:t xml:space="preserve"> nevertheless, only</w:t>
      </w:r>
      <w:r w:rsidR="00F449DE">
        <w:rPr>
          <w:rFonts w:asciiTheme="majorHAnsi" w:hAnsiTheme="majorHAnsi"/>
          <w:sz w:val="24"/>
          <w:szCs w:val="24"/>
        </w:rPr>
        <w:t xml:space="preserve"> </w:t>
      </w:r>
      <w:r w:rsidR="007711EF">
        <w:rPr>
          <w:rFonts w:asciiTheme="majorHAnsi" w:hAnsiTheme="majorHAnsi"/>
          <w:sz w:val="24"/>
          <w:szCs w:val="24"/>
        </w:rPr>
        <w:t>79</w:t>
      </w:r>
      <w:r w:rsidR="00F449DE">
        <w:rPr>
          <w:rFonts w:asciiTheme="majorHAnsi" w:hAnsiTheme="majorHAnsi"/>
          <w:sz w:val="24"/>
          <w:szCs w:val="24"/>
        </w:rPr>
        <w:t xml:space="preserve"> of the 114</w:t>
      </w:r>
      <w:r>
        <w:rPr>
          <w:rFonts w:asciiTheme="majorHAnsi" w:hAnsiTheme="majorHAnsi"/>
          <w:sz w:val="24"/>
          <w:szCs w:val="24"/>
        </w:rPr>
        <w:t xml:space="preserve"> vaccinated </w:t>
      </w:r>
      <w:r w:rsidRPr="00C9444A">
        <w:rPr>
          <w:rFonts w:asciiTheme="majorHAnsi" w:hAnsiTheme="majorHAnsi"/>
          <w:sz w:val="24"/>
          <w:szCs w:val="24"/>
        </w:rPr>
        <w:t>participants</w:t>
      </w:r>
      <w:r w:rsidR="00F449DE" w:rsidRPr="00C9444A">
        <w:rPr>
          <w:rFonts w:asciiTheme="majorHAnsi" w:hAnsiTheme="majorHAnsi"/>
          <w:sz w:val="24"/>
          <w:szCs w:val="24"/>
        </w:rPr>
        <w:t xml:space="preserve"> (</w:t>
      </w:r>
      <w:r w:rsidR="007711EF">
        <w:rPr>
          <w:rFonts w:asciiTheme="majorHAnsi" w:hAnsiTheme="majorHAnsi"/>
          <w:sz w:val="24"/>
          <w:szCs w:val="24"/>
        </w:rPr>
        <w:t>69.3</w:t>
      </w:r>
      <w:r w:rsidRPr="00C9444A">
        <w:rPr>
          <w:rFonts w:asciiTheme="majorHAnsi" w:hAnsiTheme="majorHAnsi"/>
          <w:sz w:val="24"/>
          <w:szCs w:val="24"/>
        </w:rPr>
        <w:t>%) demonstrated serologic immunity.</w:t>
      </w:r>
      <w:r w:rsidR="00067FA4" w:rsidRPr="00C9444A">
        <w:rPr>
          <w:rFonts w:asciiTheme="majorHAnsi" w:hAnsiTheme="majorHAnsi"/>
          <w:sz w:val="24"/>
          <w:szCs w:val="24"/>
        </w:rPr>
        <w:t xml:space="preserve"> </w:t>
      </w:r>
      <w:r w:rsidR="00610E45" w:rsidRPr="00C9444A">
        <w:rPr>
          <w:rFonts w:asciiTheme="majorHAnsi" w:hAnsiTheme="majorHAnsi"/>
          <w:sz w:val="24"/>
          <w:szCs w:val="24"/>
        </w:rPr>
        <w:t>Sim</w:t>
      </w:r>
      <w:r w:rsidR="007711EF">
        <w:rPr>
          <w:rFonts w:asciiTheme="majorHAnsi" w:hAnsiTheme="majorHAnsi"/>
          <w:sz w:val="24"/>
          <w:szCs w:val="24"/>
        </w:rPr>
        <w:t>ilarly, rubella also had only 113</w:t>
      </w:r>
      <w:r w:rsidR="00610E45" w:rsidRPr="00C9444A">
        <w:rPr>
          <w:rFonts w:asciiTheme="majorHAnsi" w:hAnsiTheme="majorHAnsi"/>
          <w:sz w:val="24"/>
          <w:szCs w:val="24"/>
        </w:rPr>
        <w:t xml:space="preserve"> of the 142 vaccinated participants (</w:t>
      </w:r>
      <w:r w:rsidR="007711EF">
        <w:rPr>
          <w:rFonts w:asciiTheme="majorHAnsi" w:hAnsiTheme="majorHAnsi"/>
          <w:sz w:val="24"/>
          <w:szCs w:val="24"/>
        </w:rPr>
        <w:t>79.6</w:t>
      </w:r>
      <w:r w:rsidR="00610E45" w:rsidRPr="00C9444A">
        <w:rPr>
          <w:rFonts w:asciiTheme="majorHAnsi" w:hAnsiTheme="majorHAnsi"/>
          <w:sz w:val="24"/>
          <w:szCs w:val="24"/>
        </w:rPr>
        <w:t>%) demonstrating serologic immunity. However, 32 participants had serologic protection to hepatitis A, although only 13 had received the vaccine. The 19 individuals who demonstrated serologic immunity without receiving hepatitis A vaccinations may have been inadvertently exposed to the virus from traveling</w:t>
      </w:r>
      <w:r w:rsidR="006D4029" w:rsidRPr="00C9444A">
        <w:rPr>
          <w:rFonts w:asciiTheme="majorHAnsi" w:hAnsiTheme="majorHAnsi"/>
          <w:sz w:val="24"/>
          <w:szCs w:val="24"/>
        </w:rPr>
        <w:t xml:space="preserve"> o</w:t>
      </w:r>
      <w:r w:rsidR="00DD5C1B" w:rsidRPr="00C9444A">
        <w:rPr>
          <w:rFonts w:asciiTheme="majorHAnsi" w:hAnsiTheme="majorHAnsi"/>
          <w:sz w:val="24"/>
          <w:szCs w:val="24"/>
        </w:rPr>
        <w:t>utside of Canada.</w:t>
      </w:r>
    </w:p>
    <w:p w:rsidR="00703BCE" w:rsidRDefault="003D3170"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Although the goal wa</w:t>
      </w:r>
      <w:r w:rsidR="00DD5C1B">
        <w:rPr>
          <w:rFonts w:asciiTheme="majorHAnsi" w:hAnsiTheme="majorHAnsi" w:cs="Arial"/>
          <w:sz w:val="24"/>
          <w:szCs w:val="24"/>
        </w:rPr>
        <w:t>s to enrol 200 participants, 155 underwent serum collection and complete vaccination records were available for 152</w:t>
      </w:r>
      <w:r>
        <w:rPr>
          <w:rFonts w:asciiTheme="majorHAnsi" w:hAnsiTheme="majorHAnsi" w:cs="Arial"/>
          <w:sz w:val="24"/>
          <w:szCs w:val="24"/>
        </w:rPr>
        <w:t xml:space="preserve"> participants</w:t>
      </w:r>
      <w:r w:rsidR="00DD5C1B">
        <w:rPr>
          <w:rFonts w:asciiTheme="majorHAnsi" w:hAnsiTheme="majorHAnsi" w:cs="Arial"/>
          <w:sz w:val="24"/>
          <w:szCs w:val="24"/>
        </w:rPr>
        <w:t>.</w:t>
      </w:r>
      <w:r>
        <w:rPr>
          <w:rFonts w:asciiTheme="majorHAnsi" w:hAnsiTheme="majorHAnsi" w:cs="Arial"/>
          <w:sz w:val="24"/>
          <w:szCs w:val="24"/>
        </w:rPr>
        <w:t xml:space="preserve"> The reasons for refusal of study participation included</w:t>
      </w:r>
      <w:r w:rsidR="00910F4A">
        <w:rPr>
          <w:rFonts w:asciiTheme="majorHAnsi" w:hAnsiTheme="majorHAnsi" w:cs="Arial"/>
          <w:sz w:val="24"/>
          <w:szCs w:val="24"/>
        </w:rPr>
        <w:t xml:space="preserve"> </w:t>
      </w:r>
      <w:r>
        <w:rPr>
          <w:rFonts w:asciiTheme="majorHAnsi" w:hAnsiTheme="majorHAnsi" w:cs="Arial"/>
          <w:sz w:val="24"/>
          <w:szCs w:val="24"/>
        </w:rPr>
        <w:t xml:space="preserve">fear of </w:t>
      </w:r>
      <w:r w:rsidR="0096700D">
        <w:rPr>
          <w:rFonts w:asciiTheme="majorHAnsi" w:hAnsiTheme="majorHAnsi" w:cs="Arial"/>
          <w:sz w:val="24"/>
          <w:szCs w:val="24"/>
        </w:rPr>
        <w:t>needles</w:t>
      </w:r>
      <w:r w:rsidR="00DD5C1B">
        <w:rPr>
          <w:rFonts w:asciiTheme="majorHAnsi" w:hAnsiTheme="majorHAnsi" w:cs="Arial"/>
          <w:sz w:val="24"/>
          <w:szCs w:val="24"/>
        </w:rPr>
        <w:t xml:space="preserve"> and being unable to provide signed informed consent</w:t>
      </w:r>
      <w:r w:rsidR="0096700D">
        <w:rPr>
          <w:rFonts w:asciiTheme="majorHAnsi" w:hAnsiTheme="majorHAnsi" w:cs="Arial"/>
          <w:sz w:val="24"/>
          <w:szCs w:val="24"/>
        </w:rPr>
        <w:t xml:space="preserve">. </w:t>
      </w:r>
      <w:r w:rsidR="00AD41B8">
        <w:rPr>
          <w:rFonts w:asciiTheme="majorHAnsi" w:hAnsiTheme="majorHAnsi" w:cs="Arial"/>
          <w:sz w:val="24"/>
          <w:szCs w:val="24"/>
        </w:rPr>
        <w:t xml:space="preserve">The serological nature of the study may have resulted in a self-selection bias. As individuals who had a ‘fear of needles’, including blood work and vaccinations, may have declined participation and provided an exaggerated representation of immunization completeness. </w:t>
      </w:r>
      <w:r w:rsidR="00067FA4">
        <w:rPr>
          <w:rFonts w:asciiTheme="majorHAnsi" w:hAnsiTheme="majorHAnsi" w:cs="Arial"/>
          <w:sz w:val="24"/>
          <w:szCs w:val="24"/>
        </w:rPr>
        <w:t xml:space="preserve">Thus, the proportion of </w:t>
      </w:r>
      <w:bookmarkStart w:id="0" w:name="_GoBack"/>
      <w:bookmarkEnd w:id="0"/>
      <w:r w:rsidR="00067FA4">
        <w:rPr>
          <w:rFonts w:asciiTheme="majorHAnsi" w:hAnsiTheme="majorHAnsi" w:cs="Arial"/>
          <w:sz w:val="24"/>
          <w:szCs w:val="24"/>
        </w:rPr>
        <w:t>participant with up to date vaccinations may be a biased representation of the paediatric IBD population.</w:t>
      </w:r>
    </w:p>
    <w:p w:rsidR="00AD41B8" w:rsidRDefault="00AD41B8" w:rsidP="00AD41B8">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This study was also l</w:t>
      </w:r>
      <w:r w:rsidRPr="00EE5A6C">
        <w:rPr>
          <w:rFonts w:asciiTheme="majorHAnsi" w:hAnsiTheme="majorHAnsi" w:cs="Arial"/>
          <w:sz w:val="24"/>
          <w:szCs w:val="24"/>
        </w:rPr>
        <w:t xml:space="preserve">imited by the </w:t>
      </w:r>
      <w:r>
        <w:rPr>
          <w:rFonts w:asciiTheme="majorHAnsi" w:hAnsiTheme="majorHAnsi" w:cs="Arial"/>
          <w:sz w:val="24"/>
          <w:szCs w:val="24"/>
        </w:rPr>
        <w:t xml:space="preserve">small </w:t>
      </w:r>
      <w:r w:rsidRPr="00EE5A6C">
        <w:rPr>
          <w:rFonts w:asciiTheme="majorHAnsi" w:hAnsiTheme="majorHAnsi" w:cs="Arial"/>
          <w:sz w:val="24"/>
          <w:szCs w:val="24"/>
        </w:rPr>
        <w:t xml:space="preserve">sample size of the cohort and incomplete </w:t>
      </w:r>
      <w:r>
        <w:rPr>
          <w:rFonts w:asciiTheme="majorHAnsi" w:hAnsiTheme="majorHAnsi" w:cs="Arial"/>
          <w:sz w:val="24"/>
          <w:szCs w:val="24"/>
        </w:rPr>
        <w:t xml:space="preserve">immunization </w:t>
      </w:r>
      <w:r w:rsidRPr="00EE5A6C">
        <w:rPr>
          <w:rFonts w:asciiTheme="majorHAnsi" w:hAnsiTheme="majorHAnsi" w:cs="Arial"/>
          <w:sz w:val="24"/>
          <w:szCs w:val="24"/>
        </w:rPr>
        <w:t>data</w:t>
      </w:r>
      <w:r>
        <w:rPr>
          <w:rFonts w:asciiTheme="majorHAnsi" w:hAnsiTheme="majorHAnsi" w:cs="Arial"/>
          <w:sz w:val="24"/>
          <w:szCs w:val="24"/>
        </w:rPr>
        <w:t xml:space="preserve"> for several of the participants</w:t>
      </w:r>
      <w:r w:rsidRPr="00EE5A6C">
        <w:rPr>
          <w:rFonts w:asciiTheme="majorHAnsi" w:hAnsiTheme="majorHAnsi" w:cs="Arial"/>
          <w:sz w:val="24"/>
          <w:szCs w:val="24"/>
        </w:rPr>
        <w:t>.</w:t>
      </w:r>
      <w:r>
        <w:rPr>
          <w:rFonts w:asciiTheme="majorHAnsi" w:hAnsiTheme="majorHAnsi" w:cs="Arial"/>
          <w:sz w:val="24"/>
          <w:szCs w:val="24"/>
        </w:rPr>
        <w:t xml:space="preserve"> This study is</w:t>
      </w:r>
      <w:r w:rsidRPr="00EE5A6C">
        <w:rPr>
          <w:rFonts w:asciiTheme="majorHAnsi" w:hAnsiTheme="majorHAnsi" w:cs="Arial"/>
          <w:sz w:val="24"/>
          <w:szCs w:val="24"/>
        </w:rPr>
        <w:t xml:space="preserve"> representative of children elsewhere with similar disea</w:t>
      </w:r>
      <w:r>
        <w:rPr>
          <w:rFonts w:asciiTheme="majorHAnsi" w:hAnsiTheme="majorHAnsi" w:cs="Arial"/>
          <w:sz w:val="24"/>
          <w:szCs w:val="24"/>
        </w:rPr>
        <w:t>se type and</w:t>
      </w:r>
      <w:r w:rsidRPr="00480168">
        <w:rPr>
          <w:rFonts w:asciiTheme="majorHAnsi" w:hAnsiTheme="majorHAnsi" w:cs="Arial"/>
          <w:sz w:val="24"/>
          <w:szCs w:val="24"/>
        </w:rPr>
        <w:t xml:space="preserve"> </w:t>
      </w:r>
      <w:r>
        <w:rPr>
          <w:rFonts w:asciiTheme="majorHAnsi" w:hAnsiTheme="majorHAnsi" w:cs="Arial"/>
          <w:sz w:val="24"/>
          <w:szCs w:val="24"/>
        </w:rPr>
        <w:t>treatment; however, even though the participants</w:t>
      </w:r>
      <w:r w:rsidRPr="00EE5A6C">
        <w:rPr>
          <w:rFonts w:asciiTheme="majorHAnsi" w:hAnsiTheme="majorHAnsi" w:cs="Arial"/>
          <w:sz w:val="24"/>
          <w:szCs w:val="24"/>
        </w:rPr>
        <w:t xml:space="preserve"> were managed closely in a multidisciplinary </w:t>
      </w:r>
      <w:r>
        <w:rPr>
          <w:rFonts w:asciiTheme="majorHAnsi" w:hAnsiTheme="majorHAnsi" w:cs="Arial"/>
          <w:sz w:val="24"/>
          <w:szCs w:val="24"/>
        </w:rPr>
        <w:t>IBD</w:t>
      </w:r>
      <w:r w:rsidRPr="00EE5A6C">
        <w:rPr>
          <w:rFonts w:asciiTheme="majorHAnsi" w:hAnsiTheme="majorHAnsi" w:cs="Arial"/>
          <w:sz w:val="24"/>
          <w:szCs w:val="24"/>
        </w:rPr>
        <w:t xml:space="preserve"> clinic</w:t>
      </w:r>
      <w:r>
        <w:rPr>
          <w:rFonts w:asciiTheme="majorHAnsi" w:hAnsiTheme="majorHAnsi" w:cs="Arial"/>
          <w:sz w:val="24"/>
          <w:szCs w:val="24"/>
        </w:rPr>
        <w:t xml:space="preserve">, the data is from a single </w:t>
      </w:r>
      <w:r w:rsidRPr="00EE5A6C">
        <w:rPr>
          <w:rFonts w:asciiTheme="majorHAnsi" w:hAnsiTheme="majorHAnsi" w:cs="Arial"/>
          <w:sz w:val="24"/>
          <w:szCs w:val="24"/>
        </w:rPr>
        <w:t>tertiary</w:t>
      </w:r>
      <w:r>
        <w:rPr>
          <w:rFonts w:asciiTheme="majorHAnsi" w:hAnsiTheme="majorHAnsi" w:cs="Arial"/>
          <w:sz w:val="24"/>
          <w:szCs w:val="24"/>
        </w:rPr>
        <w:t>-care</w:t>
      </w:r>
      <w:r w:rsidRPr="00EE5A6C">
        <w:rPr>
          <w:rFonts w:asciiTheme="majorHAnsi" w:hAnsiTheme="majorHAnsi" w:cs="Arial"/>
          <w:sz w:val="24"/>
          <w:szCs w:val="24"/>
        </w:rPr>
        <w:t xml:space="preserve"> paediatric </w:t>
      </w:r>
      <w:r>
        <w:rPr>
          <w:rFonts w:asciiTheme="majorHAnsi" w:hAnsiTheme="majorHAnsi" w:cs="Arial"/>
          <w:sz w:val="24"/>
          <w:szCs w:val="24"/>
        </w:rPr>
        <w:t>hospital</w:t>
      </w:r>
      <w:r w:rsidRPr="00EE5A6C">
        <w:rPr>
          <w:rFonts w:asciiTheme="majorHAnsi" w:hAnsiTheme="majorHAnsi" w:cs="Arial"/>
          <w:sz w:val="24"/>
          <w:szCs w:val="24"/>
        </w:rPr>
        <w:t xml:space="preserve">. </w:t>
      </w:r>
    </w:p>
    <w:p w:rsidR="00067FA4" w:rsidRDefault="00067FA4" w:rsidP="00DA3DED">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lastRenderedPageBreak/>
        <w:t>As well, while</w:t>
      </w:r>
      <w:r w:rsidR="00910F4A">
        <w:rPr>
          <w:rFonts w:asciiTheme="majorHAnsi" w:hAnsiTheme="majorHAnsi" w:cs="Arial"/>
          <w:sz w:val="24"/>
          <w:szCs w:val="24"/>
        </w:rPr>
        <w:t xml:space="preserve"> enrolment was open to children aged 2 to 18 years old, the majority of participants were over </w:t>
      </w:r>
      <w:r w:rsidR="00910F4A" w:rsidRPr="00610E45">
        <w:rPr>
          <w:rFonts w:asciiTheme="majorHAnsi" w:hAnsiTheme="majorHAnsi" w:cs="Arial"/>
          <w:sz w:val="24"/>
          <w:szCs w:val="24"/>
        </w:rPr>
        <w:t>1</w:t>
      </w:r>
      <w:r w:rsidR="0096700D" w:rsidRPr="00610E45">
        <w:rPr>
          <w:rFonts w:asciiTheme="majorHAnsi" w:hAnsiTheme="majorHAnsi" w:cs="Arial"/>
          <w:sz w:val="24"/>
          <w:szCs w:val="24"/>
        </w:rPr>
        <w:t>2</w:t>
      </w:r>
      <w:r w:rsidR="00910F4A">
        <w:rPr>
          <w:rFonts w:asciiTheme="majorHAnsi" w:hAnsiTheme="majorHAnsi" w:cs="Arial"/>
          <w:sz w:val="24"/>
          <w:szCs w:val="24"/>
        </w:rPr>
        <w:t xml:space="preserve"> years old.</w:t>
      </w:r>
      <w:r w:rsidR="0096700D">
        <w:rPr>
          <w:rFonts w:asciiTheme="majorHAnsi" w:hAnsiTheme="majorHAnsi" w:cs="Arial"/>
          <w:sz w:val="24"/>
          <w:szCs w:val="24"/>
        </w:rPr>
        <w:t xml:space="preserve"> </w:t>
      </w:r>
      <w:r w:rsidR="00023799">
        <w:rPr>
          <w:rFonts w:asciiTheme="majorHAnsi" w:hAnsiTheme="majorHAnsi" w:cs="Arial"/>
          <w:sz w:val="24"/>
          <w:szCs w:val="24"/>
        </w:rPr>
        <w:t>The immunization schedule recommends that m</w:t>
      </w:r>
      <w:r>
        <w:rPr>
          <w:rFonts w:asciiTheme="majorHAnsi" w:hAnsiTheme="majorHAnsi" w:cs="Arial"/>
          <w:sz w:val="24"/>
          <w:szCs w:val="24"/>
        </w:rPr>
        <w:t>ost children receive the majority of their vaccines before this age</w:t>
      </w:r>
      <w:r w:rsidR="00023799">
        <w:rPr>
          <w:rFonts w:asciiTheme="majorHAnsi" w:hAnsiTheme="majorHAnsi" w:cs="Arial"/>
          <w:sz w:val="24"/>
          <w:szCs w:val="24"/>
        </w:rPr>
        <w:t xml:space="preserve">. </w:t>
      </w:r>
      <w:r w:rsidRPr="00067FA4">
        <w:rPr>
          <w:rFonts w:asciiTheme="majorHAnsi" w:hAnsiTheme="majorHAnsi" w:cs="Arial"/>
          <w:sz w:val="24"/>
          <w:szCs w:val="24"/>
        </w:rPr>
        <w:t xml:space="preserve">Therefore, because of </w:t>
      </w:r>
      <w:r>
        <w:rPr>
          <w:rFonts w:asciiTheme="majorHAnsi" w:hAnsiTheme="majorHAnsi" w:cs="Arial"/>
          <w:sz w:val="24"/>
          <w:szCs w:val="24"/>
        </w:rPr>
        <w:t xml:space="preserve">a </w:t>
      </w:r>
      <w:r w:rsidRPr="00067FA4">
        <w:rPr>
          <w:rFonts w:asciiTheme="majorHAnsi" w:hAnsiTheme="majorHAnsi" w:cs="Arial"/>
          <w:sz w:val="24"/>
          <w:szCs w:val="24"/>
        </w:rPr>
        <w:t xml:space="preserve">small </w:t>
      </w:r>
      <w:r>
        <w:rPr>
          <w:rFonts w:asciiTheme="majorHAnsi" w:hAnsiTheme="majorHAnsi" w:cs="Arial"/>
          <w:sz w:val="24"/>
          <w:szCs w:val="24"/>
        </w:rPr>
        <w:t>sample size</w:t>
      </w:r>
      <w:r w:rsidRPr="00067FA4">
        <w:rPr>
          <w:rFonts w:asciiTheme="majorHAnsi" w:hAnsiTheme="majorHAnsi" w:cs="Arial"/>
          <w:sz w:val="24"/>
          <w:szCs w:val="24"/>
        </w:rPr>
        <w:t xml:space="preserve"> and </w:t>
      </w:r>
      <w:r>
        <w:rPr>
          <w:rFonts w:asciiTheme="majorHAnsi" w:hAnsiTheme="majorHAnsi" w:cs="Arial"/>
          <w:sz w:val="24"/>
          <w:szCs w:val="24"/>
        </w:rPr>
        <w:t>immunization</w:t>
      </w:r>
      <w:r w:rsidRPr="00067FA4">
        <w:rPr>
          <w:rFonts w:asciiTheme="majorHAnsi" w:hAnsiTheme="majorHAnsi" w:cs="Arial"/>
          <w:sz w:val="24"/>
          <w:szCs w:val="24"/>
        </w:rPr>
        <w:t xml:space="preserve"> schedules for children less tha</w:t>
      </w:r>
      <w:r>
        <w:rPr>
          <w:rFonts w:asciiTheme="majorHAnsi" w:hAnsiTheme="majorHAnsi" w:cs="Arial"/>
          <w:sz w:val="24"/>
          <w:szCs w:val="24"/>
        </w:rPr>
        <w:t>n 12</w:t>
      </w:r>
      <w:r w:rsidRPr="00067FA4">
        <w:rPr>
          <w:rFonts w:asciiTheme="majorHAnsi" w:hAnsiTheme="majorHAnsi" w:cs="Arial"/>
          <w:sz w:val="24"/>
          <w:szCs w:val="24"/>
        </w:rPr>
        <w:t xml:space="preserve"> years of age, our</w:t>
      </w:r>
      <w:r>
        <w:rPr>
          <w:rFonts w:asciiTheme="majorHAnsi" w:hAnsiTheme="majorHAnsi" w:cs="Arial"/>
          <w:sz w:val="24"/>
          <w:szCs w:val="24"/>
        </w:rPr>
        <w:t xml:space="preserve"> </w:t>
      </w:r>
      <w:r w:rsidRPr="00067FA4">
        <w:rPr>
          <w:rFonts w:asciiTheme="majorHAnsi" w:hAnsiTheme="majorHAnsi" w:cs="Arial"/>
          <w:sz w:val="24"/>
          <w:szCs w:val="24"/>
        </w:rPr>
        <w:t>findings should be generalized only to children with IBD</w:t>
      </w:r>
      <w:r>
        <w:rPr>
          <w:rFonts w:asciiTheme="majorHAnsi" w:hAnsiTheme="majorHAnsi" w:cs="Arial"/>
          <w:sz w:val="24"/>
          <w:szCs w:val="24"/>
        </w:rPr>
        <w:t xml:space="preserve"> </w:t>
      </w:r>
      <w:r w:rsidRPr="00067FA4">
        <w:rPr>
          <w:rFonts w:asciiTheme="majorHAnsi" w:hAnsiTheme="majorHAnsi" w:cs="Arial"/>
          <w:sz w:val="24"/>
          <w:szCs w:val="24"/>
        </w:rPr>
        <w:t xml:space="preserve">over </w:t>
      </w:r>
      <w:r>
        <w:rPr>
          <w:rFonts w:asciiTheme="majorHAnsi" w:hAnsiTheme="majorHAnsi" w:cs="Arial"/>
          <w:sz w:val="24"/>
          <w:szCs w:val="24"/>
        </w:rPr>
        <w:t>12</w:t>
      </w:r>
      <w:r w:rsidRPr="00067FA4">
        <w:rPr>
          <w:rFonts w:asciiTheme="majorHAnsi" w:hAnsiTheme="majorHAnsi" w:cs="Arial"/>
          <w:sz w:val="24"/>
          <w:szCs w:val="24"/>
        </w:rPr>
        <w:t xml:space="preserve"> years of age.</w:t>
      </w:r>
    </w:p>
    <w:p w:rsidR="00AD41B8" w:rsidRDefault="00AD41B8" w:rsidP="00AD41B8">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T</w:t>
      </w:r>
      <w:r w:rsidRPr="00EE5A6C">
        <w:rPr>
          <w:rFonts w:asciiTheme="majorHAnsi" w:hAnsiTheme="majorHAnsi" w:cs="Arial"/>
          <w:sz w:val="24"/>
          <w:szCs w:val="24"/>
        </w:rPr>
        <w:t>he pattern of immunogenic</w:t>
      </w:r>
      <w:r>
        <w:rPr>
          <w:rFonts w:asciiTheme="majorHAnsi" w:hAnsiTheme="majorHAnsi" w:cs="Arial"/>
          <w:sz w:val="24"/>
          <w:szCs w:val="24"/>
        </w:rPr>
        <w:t>ity</w:t>
      </w:r>
      <w:r w:rsidRPr="00EE5A6C">
        <w:rPr>
          <w:rFonts w:asciiTheme="majorHAnsi" w:hAnsiTheme="majorHAnsi" w:cs="Arial"/>
          <w:sz w:val="24"/>
          <w:szCs w:val="24"/>
        </w:rPr>
        <w:t xml:space="preserve"> requires further elucidation as the results in this study suggest </w:t>
      </w:r>
      <w:r>
        <w:rPr>
          <w:rFonts w:asciiTheme="majorHAnsi" w:hAnsiTheme="majorHAnsi" w:cs="Arial"/>
          <w:sz w:val="24"/>
          <w:szCs w:val="24"/>
        </w:rPr>
        <w:t xml:space="preserve">that medical immunosuppression affects the </w:t>
      </w:r>
      <w:r w:rsidRPr="006D4029">
        <w:rPr>
          <w:rFonts w:asciiTheme="majorHAnsi" w:hAnsiTheme="majorHAnsi" w:cs="Arial"/>
          <w:sz w:val="24"/>
          <w:szCs w:val="24"/>
        </w:rPr>
        <w:t>magnitude and duration</w:t>
      </w:r>
      <w:r>
        <w:rPr>
          <w:rFonts w:asciiTheme="majorHAnsi" w:hAnsiTheme="majorHAnsi" w:cs="Arial"/>
          <w:sz w:val="24"/>
          <w:szCs w:val="24"/>
        </w:rPr>
        <w:t xml:space="preserve"> of vaccine-induced immunity. D</w:t>
      </w:r>
      <w:r w:rsidRPr="00EE5A6C">
        <w:rPr>
          <w:rFonts w:asciiTheme="majorHAnsi" w:hAnsiTheme="majorHAnsi" w:cs="Arial"/>
          <w:sz w:val="24"/>
          <w:szCs w:val="24"/>
        </w:rPr>
        <w:t>iffering vaccination timing relative to immunosuppressive treatment may achieve better immunological protection. Ongoing assessment of the outcomes of</w:t>
      </w:r>
      <w:r>
        <w:rPr>
          <w:rFonts w:asciiTheme="majorHAnsi" w:hAnsiTheme="majorHAnsi" w:cs="Arial"/>
          <w:sz w:val="24"/>
          <w:szCs w:val="24"/>
        </w:rPr>
        <w:t xml:space="preserve"> aggressive</w:t>
      </w:r>
      <w:r w:rsidRPr="00EE5A6C">
        <w:rPr>
          <w:rFonts w:asciiTheme="majorHAnsi" w:hAnsiTheme="majorHAnsi" w:cs="Arial"/>
          <w:sz w:val="24"/>
          <w:szCs w:val="24"/>
        </w:rPr>
        <w:t xml:space="preserve"> vaccination in </w:t>
      </w:r>
      <w:r>
        <w:rPr>
          <w:rFonts w:asciiTheme="majorHAnsi" w:hAnsiTheme="majorHAnsi" w:cs="Arial"/>
          <w:sz w:val="24"/>
          <w:szCs w:val="24"/>
        </w:rPr>
        <w:t xml:space="preserve">immunosuppressed </w:t>
      </w:r>
      <w:r w:rsidRPr="00EE5A6C">
        <w:rPr>
          <w:rFonts w:asciiTheme="majorHAnsi" w:hAnsiTheme="majorHAnsi" w:cs="Arial"/>
          <w:sz w:val="24"/>
          <w:szCs w:val="24"/>
        </w:rPr>
        <w:t xml:space="preserve">children is essential, as is </w:t>
      </w:r>
      <w:r>
        <w:rPr>
          <w:rFonts w:asciiTheme="majorHAnsi" w:hAnsiTheme="majorHAnsi" w:cs="Arial"/>
          <w:sz w:val="24"/>
          <w:szCs w:val="24"/>
        </w:rPr>
        <w:t>critical</w:t>
      </w:r>
      <w:r w:rsidRPr="00EE5A6C">
        <w:rPr>
          <w:rFonts w:asciiTheme="majorHAnsi" w:hAnsiTheme="majorHAnsi" w:cs="Arial"/>
          <w:sz w:val="24"/>
          <w:szCs w:val="24"/>
        </w:rPr>
        <w:t xml:space="preserve"> revisions to the recommended vac</w:t>
      </w:r>
      <w:r>
        <w:rPr>
          <w:rFonts w:asciiTheme="majorHAnsi" w:hAnsiTheme="majorHAnsi" w:cs="Arial"/>
          <w:sz w:val="24"/>
          <w:szCs w:val="24"/>
        </w:rPr>
        <w:t>cination</w:t>
      </w:r>
      <w:r w:rsidRPr="00EE5A6C">
        <w:rPr>
          <w:rFonts w:asciiTheme="majorHAnsi" w:hAnsiTheme="majorHAnsi" w:cs="Arial"/>
          <w:sz w:val="24"/>
          <w:szCs w:val="24"/>
        </w:rPr>
        <w:t xml:space="preserve"> schedule.</w:t>
      </w:r>
      <w:r>
        <w:rPr>
          <w:rFonts w:asciiTheme="majorHAnsi" w:hAnsiTheme="majorHAnsi" w:cs="Arial"/>
          <w:sz w:val="24"/>
          <w:szCs w:val="24"/>
        </w:rPr>
        <w:t xml:space="preserve"> Further studies on the relationship between vaccine-induced immunity and vaccine completeness in the paediatric inflammatory bowel disease population are warranted.</w:t>
      </w:r>
    </w:p>
    <w:p w:rsidR="00B73268" w:rsidRPr="00597E47" w:rsidRDefault="00B73268" w:rsidP="00DA3DED">
      <w:pPr>
        <w:autoSpaceDE w:val="0"/>
        <w:autoSpaceDN w:val="0"/>
        <w:adjustRightInd w:val="0"/>
        <w:spacing w:after="0" w:line="480" w:lineRule="auto"/>
        <w:ind w:firstLine="720"/>
        <w:jc w:val="both"/>
        <w:rPr>
          <w:rFonts w:asciiTheme="majorHAnsi" w:hAnsiTheme="majorHAnsi" w:cs="Arial"/>
          <w:sz w:val="24"/>
          <w:szCs w:val="24"/>
        </w:rPr>
      </w:pPr>
    </w:p>
    <w:p w:rsidR="00083109" w:rsidRPr="00597E47" w:rsidRDefault="00083109" w:rsidP="00431BC8">
      <w:pPr>
        <w:autoSpaceDE w:val="0"/>
        <w:autoSpaceDN w:val="0"/>
        <w:adjustRightInd w:val="0"/>
        <w:spacing w:after="0" w:line="480" w:lineRule="auto"/>
        <w:rPr>
          <w:rFonts w:asciiTheme="minorHAnsi" w:hAnsiTheme="minorHAnsi" w:cs="Arial"/>
          <w:b/>
          <w:caps/>
          <w:spacing w:val="40"/>
          <w:sz w:val="24"/>
          <w:szCs w:val="24"/>
          <w:u w:val="single"/>
        </w:rPr>
      </w:pPr>
      <w:r w:rsidRPr="00597E47">
        <w:rPr>
          <w:rFonts w:asciiTheme="minorHAnsi" w:hAnsiTheme="minorHAnsi" w:cs="Arial"/>
          <w:b/>
          <w:caps/>
          <w:spacing w:val="40"/>
          <w:sz w:val="24"/>
          <w:szCs w:val="24"/>
          <w:u w:val="single"/>
        </w:rPr>
        <w:t>Conclusions</w:t>
      </w:r>
    </w:p>
    <w:p w:rsidR="0096700D" w:rsidRDefault="00AB138D" w:rsidP="00DA3DED">
      <w:pPr>
        <w:autoSpaceDE w:val="0"/>
        <w:autoSpaceDN w:val="0"/>
        <w:adjustRightInd w:val="0"/>
        <w:spacing w:after="0" w:line="480" w:lineRule="auto"/>
        <w:ind w:firstLine="720"/>
        <w:jc w:val="both"/>
        <w:rPr>
          <w:rFonts w:asciiTheme="majorHAnsi" w:hAnsiTheme="majorHAnsi" w:cs="Arial"/>
          <w:sz w:val="24"/>
          <w:szCs w:val="24"/>
        </w:rPr>
      </w:pPr>
      <w:r w:rsidRPr="00EE5A6C">
        <w:rPr>
          <w:rFonts w:asciiTheme="majorHAnsi" w:hAnsiTheme="majorHAnsi" w:cs="Arial"/>
          <w:sz w:val="24"/>
          <w:szCs w:val="24"/>
        </w:rPr>
        <w:t>This study provides additional information to the currently available literature on the</w:t>
      </w:r>
      <w:r>
        <w:rPr>
          <w:rFonts w:asciiTheme="majorHAnsi" w:hAnsiTheme="majorHAnsi" w:cs="Arial"/>
          <w:sz w:val="24"/>
          <w:szCs w:val="24"/>
        </w:rPr>
        <w:t xml:space="preserve"> use </w:t>
      </w:r>
      <w:r w:rsidRPr="00EE5A6C">
        <w:rPr>
          <w:rFonts w:asciiTheme="majorHAnsi" w:hAnsiTheme="majorHAnsi" w:cs="Arial"/>
          <w:sz w:val="24"/>
          <w:szCs w:val="24"/>
        </w:rPr>
        <w:t xml:space="preserve">of vaccinations in children with IBD. Specifically, this study reinforces the notion that </w:t>
      </w:r>
      <w:r>
        <w:rPr>
          <w:rFonts w:asciiTheme="majorHAnsi" w:hAnsiTheme="majorHAnsi" w:cs="Arial"/>
          <w:sz w:val="24"/>
          <w:szCs w:val="24"/>
        </w:rPr>
        <w:t>all children with IBD, regardless of medical immunosuppression, should adhere to the recommended schedule</w:t>
      </w:r>
      <w:r w:rsidR="00B913AA">
        <w:rPr>
          <w:rFonts w:asciiTheme="majorHAnsi" w:hAnsiTheme="majorHAnsi" w:cs="Arial"/>
          <w:sz w:val="24"/>
          <w:szCs w:val="24"/>
        </w:rPr>
        <w:t xml:space="preserve"> (aside from live vaccines)</w:t>
      </w:r>
      <w:r>
        <w:rPr>
          <w:rFonts w:asciiTheme="majorHAnsi" w:hAnsiTheme="majorHAnsi" w:cs="Arial"/>
          <w:sz w:val="24"/>
          <w:szCs w:val="24"/>
        </w:rPr>
        <w:t xml:space="preserve"> as immunizations decrease the risk of vaccine-preventable </w:t>
      </w:r>
      <w:r w:rsidR="008C46E2">
        <w:rPr>
          <w:rFonts w:asciiTheme="majorHAnsi" w:hAnsiTheme="majorHAnsi" w:cs="Arial"/>
          <w:sz w:val="24"/>
          <w:szCs w:val="24"/>
        </w:rPr>
        <w:t>illnesses</w:t>
      </w:r>
      <w:r w:rsidRPr="00EE5A6C">
        <w:rPr>
          <w:rFonts w:asciiTheme="majorHAnsi" w:hAnsiTheme="majorHAnsi" w:cs="Arial"/>
          <w:sz w:val="24"/>
          <w:szCs w:val="24"/>
        </w:rPr>
        <w:t>.</w:t>
      </w:r>
      <w:r w:rsidR="006D4029">
        <w:rPr>
          <w:rFonts w:asciiTheme="majorHAnsi" w:hAnsiTheme="majorHAnsi" w:cs="Arial"/>
          <w:sz w:val="24"/>
          <w:szCs w:val="24"/>
        </w:rPr>
        <w:t xml:space="preserve"> </w:t>
      </w:r>
      <w:r w:rsidR="008C46E2">
        <w:rPr>
          <w:rFonts w:asciiTheme="majorHAnsi" w:hAnsiTheme="majorHAnsi" w:cs="Arial"/>
          <w:sz w:val="24"/>
          <w:szCs w:val="24"/>
        </w:rPr>
        <w:t>This risk is due to</w:t>
      </w:r>
      <w:r w:rsidR="008C46E2" w:rsidRPr="008C46E2">
        <w:rPr>
          <w:rFonts w:asciiTheme="majorHAnsi" w:hAnsiTheme="majorHAnsi" w:cs="Arial"/>
          <w:sz w:val="24"/>
          <w:szCs w:val="24"/>
        </w:rPr>
        <w:t xml:space="preserve"> lack of receiving or completing vaccine series and inadequately mounting appropriate serologic protective response in spite of vaccination</w:t>
      </w:r>
      <w:r w:rsidR="00011F3D">
        <w:rPr>
          <w:rFonts w:asciiTheme="majorHAnsi" w:hAnsiTheme="majorHAnsi" w:cs="Arial"/>
          <w:sz w:val="24"/>
          <w:szCs w:val="24"/>
        </w:rPr>
        <w:t>. Data suggests that a history of childhood infection and previous complete immunization does not guarantee immunogenic protection.</w:t>
      </w:r>
      <w:r w:rsidR="008C46E2" w:rsidRPr="0048176E">
        <w:rPr>
          <w:rFonts w:asciiTheme="majorHAnsi" w:hAnsiTheme="majorHAnsi" w:cs="Arial"/>
          <w:sz w:val="24"/>
          <w:szCs w:val="24"/>
        </w:rPr>
        <w:t xml:space="preserve"> </w:t>
      </w:r>
      <w:r w:rsidR="0096700D" w:rsidRPr="0048176E">
        <w:rPr>
          <w:rFonts w:asciiTheme="majorHAnsi" w:hAnsiTheme="majorHAnsi" w:cs="Arial"/>
          <w:sz w:val="24"/>
          <w:szCs w:val="24"/>
        </w:rPr>
        <w:t xml:space="preserve">If there is any question as to </w:t>
      </w:r>
      <w:r w:rsidR="0096700D" w:rsidRPr="0048176E">
        <w:rPr>
          <w:rFonts w:asciiTheme="majorHAnsi" w:hAnsiTheme="majorHAnsi" w:cs="Arial"/>
          <w:sz w:val="24"/>
          <w:szCs w:val="24"/>
        </w:rPr>
        <w:lastRenderedPageBreak/>
        <w:t>whether vaccines were administered or were immunogenic, repeating immunizations is a recommended and acceptable option.</w:t>
      </w:r>
      <w:r w:rsidR="0096700D">
        <w:rPr>
          <w:rFonts w:asciiTheme="majorHAnsi" w:hAnsiTheme="majorHAnsi" w:cs="Arial"/>
          <w:sz w:val="24"/>
          <w:szCs w:val="24"/>
        </w:rPr>
        <w:t xml:space="preserve"> </w:t>
      </w:r>
    </w:p>
    <w:p w:rsidR="00AD41B8" w:rsidRDefault="00480168" w:rsidP="00AD41B8">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 xml:space="preserve">The low proportion </w:t>
      </w:r>
      <w:r w:rsidR="001E61F5">
        <w:rPr>
          <w:rFonts w:asciiTheme="majorHAnsi" w:hAnsiTheme="majorHAnsi" w:cs="Arial"/>
          <w:sz w:val="24"/>
          <w:szCs w:val="24"/>
        </w:rPr>
        <w:t>of participants with complete up to date immunizations demonstrates the need to address the risk of infections from vaccine-preventable diseases in patients with IBD, especially those on immunosuppressive medications.</w:t>
      </w:r>
      <w:r>
        <w:rPr>
          <w:rFonts w:asciiTheme="majorHAnsi" w:hAnsiTheme="majorHAnsi" w:cs="Arial"/>
          <w:sz w:val="24"/>
          <w:szCs w:val="24"/>
        </w:rPr>
        <w:t xml:space="preserve"> </w:t>
      </w:r>
      <w:r w:rsidR="00B73268" w:rsidRPr="008C46E2">
        <w:rPr>
          <w:rFonts w:asciiTheme="majorHAnsi" w:hAnsiTheme="majorHAnsi" w:cs="Arial"/>
          <w:sz w:val="24"/>
          <w:szCs w:val="24"/>
        </w:rPr>
        <w:t>Therefore, clinicians caring for patients with IBD should be conscientious about adherence to recommended vaccination schedules, measurement of immune response and serologic protection to vaccines, and booster vaccinations where appropriate.</w:t>
      </w:r>
    </w:p>
    <w:p w:rsidR="00B75DB2" w:rsidRPr="00123165" w:rsidRDefault="00B75DB2" w:rsidP="00123165">
      <w:pPr>
        <w:autoSpaceDE w:val="0"/>
        <w:autoSpaceDN w:val="0"/>
        <w:adjustRightInd w:val="0"/>
        <w:spacing w:after="0" w:line="480" w:lineRule="auto"/>
        <w:rPr>
          <w:rFonts w:asciiTheme="majorHAnsi" w:hAnsiTheme="majorHAnsi" w:cs="Arial"/>
          <w:sz w:val="24"/>
          <w:szCs w:val="24"/>
        </w:rPr>
      </w:pPr>
    </w:p>
    <w:p w:rsidR="00703BCE" w:rsidRPr="00B75DB2" w:rsidRDefault="00B75DB2" w:rsidP="00431BC8">
      <w:pPr>
        <w:autoSpaceDE w:val="0"/>
        <w:autoSpaceDN w:val="0"/>
        <w:adjustRightInd w:val="0"/>
        <w:spacing w:after="0" w:line="480" w:lineRule="auto"/>
        <w:rPr>
          <w:rFonts w:asciiTheme="minorHAnsi" w:hAnsiTheme="minorHAnsi" w:cs="Arial"/>
          <w:b/>
          <w:caps/>
          <w:spacing w:val="40"/>
          <w:sz w:val="24"/>
          <w:szCs w:val="24"/>
          <w:u w:val="single"/>
        </w:rPr>
      </w:pPr>
      <w:r>
        <w:rPr>
          <w:rFonts w:asciiTheme="minorHAnsi" w:hAnsiTheme="minorHAnsi" w:cs="Arial"/>
          <w:b/>
          <w:caps/>
          <w:spacing w:val="40"/>
          <w:sz w:val="24"/>
          <w:szCs w:val="24"/>
          <w:u w:val="single"/>
        </w:rPr>
        <w:t>Acknowledgements</w:t>
      </w:r>
    </w:p>
    <w:p w:rsidR="00B75DB2" w:rsidRPr="00B75DB2" w:rsidRDefault="001E61F5" w:rsidP="00D86BB8">
      <w:pPr>
        <w:autoSpaceDE w:val="0"/>
        <w:autoSpaceDN w:val="0"/>
        <w:adjustRightInd w:val="0"/>
        <w:spacing w:after="0" w:line="480" w:lineRule="auto"/>
        <w:ind w:firstLine="720"/>
        <w:jc w:val="both"/>
        <w:rPr>
          <w:rFonts w:asciiTheme="majorHAnsi" w:hAnsiTheme="majorHAnsi" w:cs="Arial"/>
          <w:sz w:val="24"/>
          <w:szCs w:val="24"/>
        </w:rPr>
      </w:pPr>
      <w:r>
        <w:rPr>
          <w:rFonts w:asciiTheme="majorHAnsi" w:hAnsiTheme="majorHAnsi" w:cs="Arial"/>
          <w:sz w:val="24"/>
          <w:szCs w:val="24"/>
        </w:rPr>
        <w:t>The authors thank the families who participated in this study</w:t>
      </w:r>
      <w:r w:rsidR="00D86BB8">
        <w:rPr>
          <w:rFonts w:asciiTheme="majorHAnsi" w:hAnsiTheme="majorHAnsi" w:cs="Arial"/>
          <w:sz w:val="24"/>
          <w:szCs w:val="24"/>
        </w:rPr>
        <w:t xml:space="preserve"> and colleagues who provided insight and expertise that greatly assisted the research. </w:t>
      </w:r>
      <w:r w:rsidR="00B75DB2" w:rsidRPr="00B75DB2">
        <w:rPr>
          <w:rFonts w:asciiTheme="majorHAnsi" w:hAnsiTheme="majorHAnsi" w:cs="Arial"/>
          <w:sz w:val="24"/>
          <w:szCs w:val="24"/>
        </w:rPr>
        <w:t>We gratefully acknowledge</w:t>
      </w:r>
      <w:r w:rsidR="00B75DB2">
        <w:rPr>
          <w:rFonts w:asciiTheme="majorHAnsi" w:hAnsiTheme="majorHAnsi" w:cs="Arial"/>
          <w:sz w:val="24"/>
          <w:szCs w:val="24"/>
        </w:rPr>
        <w:t xml:space="preserve"> the </w:t>
      </w:r>
      <w:r w:rsidR="00B75DB2" w:rsidRPr="00B75DB2">
        <w:rPr>
          <w:rFonts w:asciiTheme="majorHAnsi" w:hAnsiTheme="majorHAnsi" w:cs="Arial"/>
          <w:sz w:val="24"/>
          <w:szCs w:val="24"/>
        </w:rPr>
        <w:t>Markin Undergraduate Student Research Program</w:t>
      </w:r>
      <w:r w:rsidR="00B75DB2">
        <w:rPr>
          <w:rFonts w:asciiTheme="majorHAnsi" w:hAnsiTheme="majorHAnsi" w:cs="Arial"/>
          <w:sz w:val="24"/>
          <w:szCs w:val="24"/>
        </w:rPr>
        <w:t xml:space="preserve"> </w:t>
      </w:r>
      <w:r w:rsidR="00B75DB2" w:rsidRPr="00B75DB2">
        <w:rPr>
          <w:rFonts w:asciiTheme="majorHAnsi" w:hAnsiTheme="majorHAnsi" w:cs="Arial"/>
          <w:sz w:val="24"/>
          <w:szCs w:val="24"/>
        </w:rPr>
        <w:t>in Health and Wellness</w:t>
      </w:r>
      <w:r w:rsidR="00B75DB2">
        <w:rPr>
          <w:rFonts w:asciiTheme="majorHAnsi" w:hAnsiTheme="majorHAnsi" w:cs="Arial"/>
          <w:sz w:val="24"/>
          <w:szCs w:val="24"/>
        </w:rPr>
        <w:t xml:space="preserve"> for providing summer studentship funding.</w:t>
      </w:r>
    </w:p>
    <w:p w:rsidR="001A3637" w:rsidRDefault="001A3637">
      <w:pPr>
        <w:spacing w:after="0" w:line="240" w:lineRule="auto"/>
        <w:rPr>
          <w:rFonts w:asciiTheme="minorHAnsi" w:hAnsiTheme="minorHAnsi" w:cs="Arial"/>
          <w:b/>
          <w:caps/>
          <w:spacing w:val="40"/>
          <w:sz w:val="24"/>
          <w:szCs w:val="24"/>
          <w:u w:val="single"/>
        </w:rPr>
      </w:pPr>
      <w:r>
        <w:rPr>
          <w:rFonts w:asciiTheme="minorHAnsi" w:hAnsiTheme="minorHAnsi" w:cs="Arial"/>
          <w:b/>
          <w:caps/>
          <w:spacing w:val="40"/>
          <w:sz w:val="24"/>
          <w:szCs w:val="24"/>
          <w:u w:val="single"/>
        </w:rPr>
        <w:br w:type="page"/>
      </w:r>
    </w:p>
    <w:p w:rsidR="00083109" w:rsidRPr="00597E47" w:rsidRDefault="00083109" w:rsidP="004B69AE">
      <w:pPr>
        <w:autoSpaceDE w:val="0"/>
        <w:autoSpaceDN w:val="0"/>
        <w:adjustRightInd w:val="0"/>
        <w:spacing w:after="0"/>
        <w:rPr>
          <w:rFonts w:asciiTheme="minorHAnsi" w:hAnsiTheme="minorHAnsi" w:cs="Arial"/>
          <w:b/>
          <w:caps/>
          <w:spacing w:val="40"/>
          <w:sz w:val="24"/>
          <w:szCs w:val="24"/>
          <w:u w:val="single"/>
        </w:rPr>
      </w:pPr>
      <w:r w:rsidRPr="00597E47">
        <w:rPr>
          <w:rFonts w:asciiTheme="minorHAnsi" w:hAnsiTheme="minorHAnsi" w:cs="Arial"/>
          <w:b/>
          <w:caps/>
          <w:spacing w:val="40"/>
          <w:sz w:val="24"/>
          <w:szCs w:val="24"/>
          <w:u w:val="single"/>
        </w:rPr>
        <w:lastRenderedPageBreak/>
        <w:t>References</w:t>
      </w:r>
    </w:p>
    <w:sectPr w:rsidR="00083109" w:rsidRPr="00597E47" w:rsidSect="00C22CDB">
      <w:footerReference w:type="default" r:id="rId8"/>
      <w:endnotePr>
        <w:numFmt w:val="decimal"/>
      </w:endnotePr>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E73" w:rsidRDefault="00455E73" w:rsidP="003E0603">
      <w:pPr>
        <w:spacing w:after="0" w:line="240" w:lineRule="auto"/>
      </w:pPr>
      <w:r>
        <w:separator/>
      </w:r>
    </w:p>
  </w:endnote>
  <w:endnote w:type="continuationSeparator" w:id="0">
    <w:p w:rsidR="00455E73" w:rsidRDefault="00455E73" w:rsidP="003E0603">
      <w:pPr>
        <w:spacing w:after="0" w:line="240" w:lineRule="auto"/>
      </w:pPr>
      <w:r>
        <w:continuationSeparator/>
      </w:r>
    </w:p>
  </w:endnote>
  <w:endnote w:id="1">
    <w:p w:rsidR="00231C23" w:rsidRPr="00420500" w:rsidRDefault="00231C23" w:rsidP="00123165">
      <w:pPr>
        <w:pStyle w:val="EndnoteText"/>
        <w:spacing w:line="360" w:lineRule="auto"/>
        <w:ind w:left="426" w:hanging="426"/>
        <w:jc w:val="both"/>
        <w:rPr>
          <w:rFonts w:asciiTheme="majorHAnsi" w:hAnsiTheme="majorHAnsi"/>
          <w:sz w:val="24"/>
          <w:szCs w:val="24"/>
        </w:rPr>
      </w:pPr>
      <w:r w:rsidRPr="00420500">
        <w:rPr>
          <w:rStyle w:val="EndnoteReference"/>
          <w:rFonts w:asciiTheme="majorHAnsi" w:hAnsiTheme="majorHAnsi"/>
          <w:szCs w:val="24"/>
        </w:rPr>
        <w:t>(</w:t>
      </w:r>
      <w:r w:rsidRPr="00420500">
        <w:rPr>
          <w:rStyle w:val="EndnoteReference"/>
          <w:rFonts w:asciiTheme="majorHAnsi" w:hAnsiTheme="majorHAnsi"/>
          <w:szCs w:val="24"/>
        </w:rPr>
        <w:endnoteRef/>
      </w:r>
      <w:r w:rsidRPr="00420500">
        <w:rPr>
          <w:rStyle w:val="EndnoteReference"/>
          <w:rFonts w:asciiTheme="majorHAnsi" w:hAnsiTheme="majorHAnsi"/>
          <w:szCs w:val="24"/>
        </w:rPr>
        <w:t>)</w:t>
      </w:r>
      <w:r w:rsidRPr="00420500">
        <w:rPr>
          <w:rFonts w:asciiTheme="majorHAnsi" w:hAnsiTheme="majorHAnsi"/>
          <w:sz w:val="24"/>
          <w:szCs w:val="24"/>
        </w:rPr>
        <w:t xml:space="preserve"> Abraham C, Cho JH. </w:t>
      </w:r>
      <w:proofErr w:type="gramStart"/>
      <w:r w:rsidRPr="00420500">
        <w:rPr>
          <w:rFonts w:asciiTheme="majorHAnsi" w:hAnsiTheme="majorHAnsi"/>
          <w:sz w:val="24"/>
          <w:szCs w:val="24"/>
        </w:rPr>
        <w:t>Inflammatory bowel disease.</w:t>
      </w:r>
      <w:proofErr w:type="gramEnd"/>
      <w:r w:rsidRPr="00420500">
        <w:rPr>
          <w:rFonts w:asciiTheme="majorHAnsi" w:hAnsiTheme="majorHAnsi"/>
          <w:sz w:val="24"/>
          <w:szCs w:val="24"/>
        </w:rPr>
        <w:t xml:space="preserve"> N Engl J Med 2009; 361:2066-2078.</w:t>
      </w:r>
    </w:p>
  </w:endnote>
  <w:endnote w:id="2">
    <w:p w:rsidR="00231C23" w:rsidRPr="00420500" w:rsidRDefault="00231C23" w:rsidP="00123165">
      <w:pPr>
        <w:spacing w:after="0" w:line="360" w:lineRule="auto"/>
        <w:ind w:left="426" w:hanging="426"/>
        <w:jc w:val="both"/>
        <w:rPr>
          <w:rFonts w:asciiTheme="majorHAnsi" w:hAnsiTheme="majorHAnsi"/>
          <w:sz w:val="24"/>
          <w:szCs w:val="24"/>
        </w:rPr>
      </w:pPr>
      <w:r w:rsidRPr="00420500">
        <w:rPr>
          <w:rStyle w:val="EndnoteReference"/>
          <w:rFonts w:asciiTheme="majorHAnsi" w:hAnsiTheme="majorHAnsi"/>
          <w:szCs w:val="24"/>
        </w:rPr>
        <w:t>(</w:t>
      </w:r>
      <w:r w:rsidRPr="00420500">
        <w:rPr>
          <w:rStyle w:val="EndnoteReference"/>
          <w:rFonts w:asciiTheme="majorHAnsi" w:hAnsiTheme="majorHAnsi"/>
          <w:szCs w:val="24"/>
        </w:rPr>
        <w:endnoteRef/>
      </w:r>
      <w:r w:rsidRPr="00420500">
        <w:rPr>
          <w:rStyle w:val="EndnoteReference"/>
          <w:rFonts w:asciiTheme="majorHAnsi" w:hAnsiTheme="majorHAnsi"/>
          <w:szCs w:val="24"/>
        </w:rPr>
        <w:t>)</w:t>
      </w:r>
      <w:r w:rsidRPr="00420500">
        <w:rPr>
          <w:rFonts w:asciiTheme="majorHAnsi" w:hAnsiTheme="majorHAnsi"/>
          <w:sz w:val="24"/>
          <w:szCs w:val="24"/>
        </w:rPr>
        <w:t xml:space="preserve"> Kappelman MD, Rifas-Shiman SL, Kleinman K, Ollendorf D, Bousvaros A, Grand RJ, Finkelstein JA. </w:t>
      </w:r>
      <w:proofErr w:type="gramStart"/>
      <w:r w:rsidRPr="00420500">
        <w:rPr>
          <w:rFonts w:asciiTheme="majorHAnsi" w:hAnsiTheme="majorHAnsi"/>
          <w:sz w:val="24"/>
          <w:szCs w:val="24"/>
        </w:rPr>
        <w:t>The prevalence and geographic distribution of Crohn's disease and ulcerative colitis in the United States.</w:t>
      </w:r>
      <w:proofErr w:type="gramEnd"/>
      <w:r w:rsidRPr="00420500">
        <w:rPr>
          <w:rFonts w:asciiTheme="majorHAnsi" w:hAnsiTheme="majorHAnsi"/>
          <w:sz w:val="24"/>
          <w:szCs w:val="24"/>
        </w:rPr>
        <w:t xml:space="preserve"> Gastroenterol Hepatol 2007</w:t>
      </w:r>
      <w:proofErr w:type="gramStart"/>
      <w:r w:rsidRPr="00420500">
        <w:rPr>
          <w:rFonts w:asciiTheme="majorHAnsi" w:hAnsiTheme="majorHAnsi"/>
          <w:sz w:val="24"/>
          <w:szCs w:val="24"/>
        </w:rPr>
        <w:t>;5</w:t>
      </w:r>
      <w:proofErr w:type="gramEnd"/>
      <w:r w:rsidRPr="00420500">
        <w:rPr>
          <w:rFonts w:asciiTheme="majorHAnsi" w:hAnsiTheme="majorHAnsi"/>
          <w:sz w:val="24"/>
          <w:szCs w:val="24"/>
        </w:rPr>
        <w:t xml:space="preserve">(12):1424-9. </w:t>
      </w:r>
    </w:p>
  </w:endnote>
  <w:endnote w:id="3">
    <w:p w:rsidR="00231C23" w:rsidRPr="00420500" w:rsidRDefault="00231C23" w:rsidP="00123165">
      <w:pPr>
        <w:pStyle w:val="EndnoteText"/>
        <w:spacing w:line="360" w:lineRule="auto"/>
        <w:ind w:left="426" w:hanging="426"/>
        <w:jc w:val="both"/>
        <w:rPr>
          <w:rFonts w:asciiTheme="majorHAnsi" w:hAnsiTheme="majorHAnsi"/>
          <w:sz w:val="24"/>
          <w:szCs w:val="24"/>
        </w:rPr>
      </w:pPr>
      <w:r w:rsidRPr="00420500">
        <w:rPr>
          <w:rStyle w:val="EndnoteReference"/>
          <w:rFonts w:asciiTheme="majorHAnsi" w:hAnsiTheme="majorHAnsi"/>
          <w:szCs w:val="24"/>
        </w:rPr>
        <w:t>(</w:t>
      </w:r>
      <w:r w:rsidRPr="00420500">
        <w:rPr>
          <w:rStyle w:val="EndnoteReference"/>
          <w:rFonts w:asciiTheme="majorHAnsi" w:hAnsiTheme="majorHAnsi"/>
          <w:szCs w:val="24"/>
        </w:rPr>
        <w:endnoteRef/>
      </w:r>
      <w:r w:rsidRPr="00420500">
        <w:rPr>
          <w:rStyle w:val="EndnoteReference"/>
          <w:rFonts w:asciiTheme="majorHAnsi" w:hAnsiTheme="majorHAnsi"/>
          <w:szCs w:val="24"/>
        </w:rPr>
        <w:t>)</w:t>
      </w:r>
      <w:r w:rsidRPr="00420500">
        <w:rPr>
          <w:rFonts w:asciiTheme="majorHAnsi" w:hAnsiTheme="majorHAnsi"/>
          <w:sz w:val="24"/>
          <w:szCs w:val="24"/>
        </w:rPr>
        <w:t xml:space="preserve"> Størdal K, Jahnsen J, Bentsen BS, Moum B. Pediatric inflammatory bowel disease in southeastern Norway: a five-year follow-up study. Digestion 2004</w:t>
      </w:r>
      <w:proofErr w:type="gramStart"/>
      <w:r w:rsidRPr="00420500">
        <w:rPr>
          <w:rFonts w:asciiTheme="majorHAnsi" w:hAnsiTheme="majorHAnsi"/>
          <w:sz w:val="24"/>
          <w:szCs w:val="24"/>
        </w:rPr>
        <w:t>;70</w:t>
      </w:r>
      <w:proofErr w:type="gramEnd"/>
      <w:r w:rsidRPr="00420500">
        <w:rPr>
          <w:rFonts w:asciiTheme="majorHAnsi" w:hAnsiTheme="majorHAnsi"/>
          <w:sz w:val="24"/>
          <w:szCs w:val="24"/>
        </w:rPr>
        <w:t>(4):226-30.</w:t>
      </w:r>
    </w:p>
  </w:endnote>
  <w:endnote w:id="4">
    <w:p w:rsidR="00231C23" w:rsidRPr="00420500" w:rsidRDefault="00231C23" w:rsidP="00123165">
      <w:pPr>
        <w:spacing w:after="0" w:line="360" w:lineRule="auto"/>
        <w:ind w:left="426" w:hanging="426"/>
        <w:jc w:val="both"/>
        <w:rPr>
          <w:rFonts w:asciiTheme="majorHAnsi" w:hAnsiTheme="majorHAnsi"/>
          <w:sz w:val="24"/>
          <w:szCs w:val="24"/>
        </w:rPr>
      </w:pPr>
      <w:r w:rsidRPr="00420500">
        <w:rPr>
          <w:rStyle w:val="EndnoteReference"/>
          <w:rFonts w:asciiTheme="majorHAnsi" w:hAnsiTheme="majorHAnsi"/>
          <w:szCs w:val="24"/>
        </w:rPr>
        <w:t>(</w:t>
      </w:r>
      <w:r w:rsidRPr="00420500">
        <w:rPr>
          <w:rStyle w:val="EndnoteReference"/>
          <w:rFonts w:asciiTheme="majorHAnsi" w:hAnsiTheme="majorHAnsi"/>
          <w:szCs w:val="24"/>
        </w:rPr>
        <w:endnoteRef/>
      </w:r>
      <w:r w:rsidRPr="00420500">
        <w:rPr>
          <w:rStyle w:val="EndnoteReference"/>
          <w:rFonts w:asciiTheme="majorHAnsi" w:hAnsiTheme="majorHAnsi"/>
          <w:szCs w:val="24"/>
        </w:rPr>
        <w:t>)</w:t>
      </w:r>
      <w:r w:rsidRPr="00420500">
        <w:rPr>
          <w:rFonts w:asciiTheme="majorHAnsi" w:hAnsiTheme="majorHAnsi"/>
          <w:sz w:val="24"/>
          <w:szCs w:val="24"/>
        </w:rPr>
        <w:t xml:space="preserve"> </w:t>
      </w:r>
      <w:r w:rsidRPr="00420500">
        <w:rPr>
          <w:rFonts w:asciiTheme="majorHAnsi" w:hAnsiTheme="majorHAnsi"/>
          <w:sz w:val="24"/>
          <w:szCs w:val="24"/>
          <w:lang w:val="de-DE"/>
        </w:rPr>
        <w:t xml:space="preserve">Canadian Immunization Guide 2006. </w:t>
      </w:r>
      <w:r w:rsidRPr="00420500">
        <w:rPr>
          <w:rFonts w:asciiTheme="majorHAnsi" w:hAnsiTheme="majorHAnsi"/>
          <w:sz w:val="24"/>
          <w:szCs w:val="24"/>
          <w:lang w:val="de-DE"/>
        </w:rPr>
        <w:t xml:space="preserve">Available at: </w:t>
      </w:r>
      <w:r w:rsidR="00AF6EA8">
        <w:fldChar w:fldCharType="begin"/>
      </w:r>
      <w:r>
        <w:instrText>HYPERLINK "http://www.phac-aspc.gc.ca/publicat/cig-gci/index-eng.php"</w:instrText>
      </w:r>
      <w:r w:rsidR="00AF6EA8">
        <w:fldChar w:fldCharType="separate"/>
      </w:r>
      <w:r w:rsidRPr="00420500">
        <w:rPr>
          <w:rStyle w:val="Hyperlink"/>
          <w:rFonts w:asciiTheme="majorHAnsi" w:hAnsiTheme="majorHAnsi"/>
          <w:sz w:val="24"/>
          <w:szCs w:val="24"/>
        </w:rPr>
        <w:t>www.phac-aspc.gc.ca/publicat/cig-gci/index-eng.php</w:t>
      </w:r>
      <w:r w:rsidR="00AF6EA8">
        <w:fldChar w:fldCharType="end"/>
      </w:r>
      <w:r w:rsidRPr="00420500">
        <w:rPr>
          <w:rStyle w:val="HTMLCite"/>
          <w:rFonts w:asciiTheme="majorHAnsi" w:hAnsiTheme="majorHAnsi"/>
          <w:sz w:val="24"/>
          <w:szCs w:val="24"/>
        </w:rPr>
        <w:t xml:space="preserve">. </w:t>
      </w:r>
      <w:proofErr w:type="gramStart"/>
      <w:r w:rsidRPr="003618E1">
        <w:rPr>
          <w:rStyle w:val="HTMLCite"/>
          <w:rFonts w:asciiTheme="majorHAnsi" w:hAnsiTheme="majorHAnsi"/>
          <w:color w:val="auto"/>
          <w:sz w:val="24"/>
          <w:szCs w:val="24"/>
        </w:rPr>
        <w:t xml:space="preserve">Accessed </w:t>
      </w:r>
      <w:r w:rsidR="00A3764B">
        <w:rPr>
          <w:rStyle w:val="HTMLCite"/>
          <w:rFonts w:asciiTheme="majorHAnsi" w:hAnsiTheme="majorHAnsi"/>
          <w:color w:val="auto"/>
          <w:sz w:val="24"/>
          <w:szCs w:val="24"/>
        </w:rPr>
        <w:t>September 1, 2012</w:t>
      </w:r>
      <w:r w:rsidRPr="003618E1">
        <w:rPr>
          <w:rStyle w:val="HTMLCite"/>
          <w:rFonts w:asciiTheme="majorHAnsi" w:hAnsiTheme="majorHAnsi"/>
          <w:color w:val="auto"/>
          <w:sz w:val="24"/>
          <w:szCs w:val="24"/>
        </w:rPr>
        <w:t>.</w:t>
      </w:r>
      <w:proofErr w:type="gramEnd"/>
    </w:p>
  </w:endnote>
  <w:endnote w:id="5">
    <w:p w:rsidR="00231C23" w:rsidRPr="00420500" w:rsidRDefault="00231C23" w:rsidP="00123165">
      <w:pPr>
        <w:spacing w:after="0" w:line="360" w:lineRule="auto"/>
        <w:ind w:left="426" w:hanging="426"/>
        <w:jc w:val="both"/>
        <w:rPr>
          <w:rFonts w:asciiTheme="majorHAnsi" w:hAnsiTheme="majorHAnsi"/>
          <w:sz w:val="24"/>
          <w:szCs w:val="24"/>
          <w:lang w:val="de-DE"/>
        </w:rPr>
      </w:pPr>
      <w:r w:rsidRPr="00420500">
        <w:rPr>
          <w:rStyle w:val="EndnoteReference"/>
          <w:rFonts w:asciiTheme="majorHAnsi" w:hAnsiTheme="majorHAnsi"/>
          <w:szCs w:val="24"/>
        </w:rPr>
        <w:t>(</w:t>
      </w:r>
      <w:r w:rsidRPr="00420500">
        <w:rPr>
          <w:rStyle w:val="EndnoteReference"/>
          <w:rFonts w:asciiTheme="majorHAnsi" w:hAnsiTheme="majorHAnsi"/>
          <w:szCs w:val="24"/>
        </w:rPr>
        <w:endnoteRef/>
      </w:r>
      <w:r w:rsidRPr="00420500">
        <w:rPr>
          <w:rStyle w:val="EndnoteReference"/>
          <w:rFonts w:asciiTheme="majorHAnsi" w:hAnsiTheme="majorHAnsi"/>
          <w:szCs w:val="24"/>
        </w:rPr>
        <w:t>)</w:t>
      </w:r>
      <w:r w:rsidRPr="00420500">
        <w:rPr>
          <w:rFonts w:asciiTheme="majorHAnsi" w:hAnsiTheme="majorHAnsi"/>
          <w:sz w:val="24"/>
          <w:szCs w:val="24"/>
        </w:rPr>
        <w:t xml:space="preserve"> </w:t>
      </w:r>
      <w:proofErr w:type="gramStart"/>
      <w:r w:rsidRPr="00420500">
        <w:rPr>
          <w:rFonts w:asciiTheme="majorHAnsi" w:hAnsiTheme="majorHAnsi"/>
          <w:sz w:val="24"/>
          <w:szCs w:val="24"/>
        </w:rPr>
        <w:t xml:space="preserve">Routine immunization schedule, </w:t>
      </w:r>
      <w:r w:rsidRPr="00420500">
        <w:rPr>
          <w:rFonts w:asciiTheme="majorHAnsi" w:hAnsiTheme="majorHAnsi"/>
          <w:sz w:val="24"/>
          <w:szCs w:val="24"/>
          <w:lang w:val="de-DE"/>
        </w:rPr>
        <w:t>Government of Alberta Health and Wellness.</w:t>
      </w:r>
      <w:proofErr w:type="gramEnd"/>
      <w:r w:rsidRPr="00420500">
        <w:rPr>
          <w:rFonts w:asciiTheme="majorHAnsi" w:hAnsiTheme="majorHAnsi"/>
          <w:sz w:val="24"/>
          <w:szCs w:val="24"/>
          <w:lang w:val="de-DE"/>
        </w:rPr>
        <w:t xml:space="preserve"> Available at: </w:t>
      </w:r>
      <w:hyperlink r:id="rId1" w:history="1">
        <w:r w:rsidRPr="00420500">
          <w:rPr>
            <w:rStyle w:val="Hyperlink"/>
            <w:rFonts w:asciiTheme="majorHAnsi" w:hAnsiTheme="majorHAnsi"/>
            <w:sz w:val="24"/>
            <w:szCs w:val="24"/>
            <w:lang w:val="de-DE"/>
          </w:rPr>
          <w:t>http://www.health.alberta.ca/health-info/imm-routine-schedule.html</w:t>
        </w:r>
      </w:hyperlink>
      <w:r w:rsidRPr="00420500">
        <w:rPr>
          <w:rFonts w:asciiTheme="majorHAnsi" w:hAnsiTheme="majorHAnsi"/>
          <w:sz w:val="24"/>
          <w:szCs w:val="24"/>
          <w:lang w:val="de-DE"/>
        </w:rPr>
        <w:t xml:space="preserve">. </w:t>
      </w:r>
      <w:proofErr w:type="gramStart"/>
      <w:r w:rsidR="00A3764B" w:rsidRPr="003618E1">
        <w:rPr>
          <w:rStyle w:val="HTMLCite"/>
          <w:rFonts w:asciiTheme="majorHAnsi" w:hAnsiTheme="majorHAnsi"/>
          <w:color w:val="auto"/>
          <w:sz w:val="24"/>
          <w:szCs w:val="24"/>
        </w:rPr>
        <w:t xml:space="preserve">Accessed </w:t>
      </w:r>
      <w:r w:rsidR="00A3764B">
        <w:rPr>
          <w:rStyle w:val="HTMLCite"/>
          <w:rFonts w:asciiTheme="majorHAnsi" w:hAnsiTheme="majorHAnsi"/>
          <w:color w:val="auto"/>
          <w:sz w:val="24"/>
          <w:szCs w:val="24"/>
        </w:rPr>
        <w:t>September 1, 2012</w:t>
      </w:r>
      <w:r w:rsidR="00A3764B" w:rsidRPr="003618E1">
        <w:rPr>
          <w:rStyle w:val="HTMLCite"/>
          <w:rFonts w:asciiTheme="majorHAnsi" w:hAnsiTheme="majorHAnsi"/>
          <w:color w:val="auto"/>
          <w:sz w:val="24"/>
          <w:szCs w:val="24"/>
        </w:rPr>
        <w:t>.</w:t>
      </w:r>
      <w:proofErr w:type="gramEnd"/>
    </w:p>
  </w:endnote>
  <w:endnote w:id="6">
    <w:p w:rsidR="00A3764B" w:rsidRPr="004260E2" w:rsidRDefault="00A3764B" w:rsidP="00EA45BC">
      <w:pPr>
        <w:spacing w:after="0" w:line="360" w:lineRule="auto"/>
        <w:jc w:val="both"/>
        <w:rPr>
          <w:rFonts w:asciiTheme="majorHAnsi" w:hAnsiTheme="majorHAnsi"/>
          <w:sz w:val="2"/>
          <w:szCs w:val="24"/>
          <w:lang w:val="de-DE"/>
        </w:rPr>
      </w:pPr>
    </w:p>
  </w:endnote>
  <w:endnote w:id="7">
    <w:p w:rsidR="00231C23" w:rsidRPr="00420500" w:rsidRDefault="00231C23" w:rsidP="00123165">
      <w:pPr>
        <w:pStyle w:val="EndnoteText"/>
        <w:spacing w:line="360" w:lineRule="auto"/>
        <w:ind w:left="426" w:hanging="426"/>
        <w:jc w:val="both"/>
        <w:rPr>
          <w:rFonts w:asciiTheme="majorHAnsi" w:hAnsiTheme="majorHAnsi"/>
          <w:sz w:val="24"/>
          <w:szCs w:val="24"/>
        </w:rPr>
      </w:pPr>
      <w:r w:rsidRPr="00420500">
        <w:rPr>
          <w:rStyle w:val="EndnoteReference"/>
          <w:rFonts w:asciiTheme="majorHAnsi" w:hAnsiTheme="majorHAnsi"/>
          <w:szCs w:val="24"/>
        </w:rPr>
        <w:t>(</w:t>
      </w:r>
      <w:r w:rsidR="00EA45BC">
        <w:rPr>
          <w:rStyle w:val="EndnoteReference"/>
          <w:rFonts w:asciiTheme="majorHAnsi" w:hAnsiTheme="majorHAnsi"/>
          <w:szCs w:val="24"/>
        </w:rPr>
        <w:t>6</w:t>
      </w:r>
      <w:r w:rsidRPr="00420500">
        <w:rPr>
          <w:rStyle w:val="EndnoteReference"/>
          <w:rFonts w:asciiTheme="majorHAnsi" w:hAnsiTheme="majorHAnsi"/>
          <w:szCs w:val="24"/>
        </w:rPr>
        <w:t>)</w:t>
      </w:r>
      <w:r w:rsidRPr="00420500">
        <w:rPr>
          <w:rFonts w:asciiTheme="majorHAnsi" w:hAnsiTheme="majorHAnsi"/>
          <w:sz w:val="24"/>
          <w:szCs w:val="24"/>
        </w:rPr>
        <w:t xml:space="preserve"> North American Society for Pediatric Gastroenterology, Hepatology, and Nutrition; Colitis Foundation of America, Bousvaros A, Antonioli DA, Colletti RB, et al. Differentiating ulcerative colitis from Crohn’s disease in children and young adults: report of a working group of the North American Society for Pediatric Gastroenterology, Hepatology, and Nutrition and the Crohn's and Colitis Foundation of America. J </w:t>
      </w:r>
      <w:proofErr w:type="spellStart"/>
      <w:r w:rsidRPr="00420500">
        <w:rPr>
          <w:rFonts w:asciiTheme="majorHAnsi" w:hAnsiTheme="majorHAnsi"/>
          <w:sz w:val="24"/>
          <w:szCs w:val="24"/>
        </w:rPr>
        <w:t>Pediatr</w:t>
      </w:r>
      <w:proofErr w:type="spellEnd"/>
      <w:r w:rsidRPr="00420500">
        <w:rPr>
          <w:rFonts w:asciiTheme="majorHAnsi" w:hAnsiTheme="majorHAnsi"/>
          <w:sz w:val="24"/>
          <w:szCs w:val="24"/>
        </w:rPr>
        <w:t xml:space="preserve"> </w:t>
      </w:r>
      <w:proofErr w:type="spellStart"/>
      <w:r w:rsidRPr="00420500">
        <w:rPr>
          <w:rFonts w:asciiTheme="majorHAnsi" w:hAnsiTheme="majorHAnsi"/>
          <w:sz w:val="24"/>
          <w:szCs w:val="24"/>
        </w:rPr>
        <w:t>Gastroenterol</w:t>
      </w:r>
      <w:proofErr w:type="spellEnd"/>
      <w:r w:rsidRPr="00420500">
        <w:rPr>
          <w:rFonts w:asciiTheme="majorHAnsi" w:hAnsiTheme="majorHAnsi"/>
          <w:sz w:val="24"/>
          <w:szCs w:val="24"/>
        </w:rPr>
        <w:t xml:space="preserve"> </w:t>
      </w:r>
      <w:proofErr w:type="spellStart"/>
      <w:r w:rsidRPr="00420500">
        <w:rPr>
          <w:rFonts w:asciiTheme="majorHAnsi" w:hAnsiTheme="majorHAnsi"/>
          <w:sz w:val="24"/>
          <w:szCs w:val="24"/>
        </w:rPr>
        <w:t>Nutr</w:t>
      </w:r>
      <w:proofErr w:type="spellEnd"/>
      <w:r w:rsidRPr="00420500">
        <w:rPr>
          <w:rFonts w:asciiTheme="majorHAnsi" w:hAnsiTheme="majorHAnsi"/>
          <w:sz w:val="24"/>
          <w:szCs w:val="24"/>
        </w:rPr>
        <w:t xml:space="preserve"> 2007</w:t>
      </w:r>
      <w:proofErr w:type="gramStart"/>
      <w:r w:rsidRPr="00420500">
        <w:rPr>
          <w:rFonts w:asciiTheme="majorHAnsi" w:hAnsiTheme="majorHAnsi"/>
          <w:sz w:val="24"/>
          <w:szCs w:val="24"/>
        </w:rPr>
        <w:t>;44</w:t>
      </w:r>
      <w:proofErr w:type="gramEnd"/>
      <w:r w:rsidRPr="00420500">
        <w:rPr>
          <w:rFonts w:asciiTheme="majorHAnsi" w:hAnsiTheme="majorHAnsi"/>
          <w:sz w:val="24"/>
          <w:szCs w:val="24"/>
        </w:rPr>
        <w:t>(5):653-74.</w:t>
      </w:r>
    </w:p>
  </w:endnote>
  <w:endnote w:id="8">
    <w:p w:rsidR="00231C23" w:rsidRPr="00420500" w:rsidRDefault="00231C23" w:rsidP="00123165">
      <w:pPr>
        <w:pStyle w:val="EndnoteText"/>
        <w:spacing w:line="360" w:lineRule="auto"/>
        <w:ind w:left="426" w:hanging="426"/>
        <w:jc w:val="both"/>
        <w:rPr>
          <w:rFonts w:asciiTheme="majorHAnsi" w:hAnsiTheme="majorHAnsi"/>
          <w:sz w:val="24"/>
          <w:szCs w:val="24"/>
        </w:rPr>
      </w:pPr>
      <w:r w:rsidRPr="00420500">
        <w:rPr>
          <w:rStyle w:val="EndnoteReference"/>
          <w:rFonts w:asciiTheme="majorHAnsi" w:hAnsiTheme="majorHAnsi"/>
          <w:szCs w:val="24"/>
        </w:rPr>
        <w:t>(</w:t>
      </w:r>
      <w:r w:rsidR="00EA45BC">
        <w:rPr>
          <w:rStyle w:val="EndnoteReference"/>
          <w:rFonts w:asciiTheme="majorHAnsi" w:hAnsiTheme="majorHAnsi"/>
          <w:szCs w:val="24"/>
        </w:rPr>
        <w:t>7</w:t>
      </w:r>
      <w:r w:rsidRPr="00420500">
        <w:rPr>
          <w:rStyle w:val="EndnoteReference"/>
          <w:rFonts w:asciiTheme="majorHAnsi" w:hAnsiTheme="majorHAnsi"/>
          <w:szCs w:val="24"/>
        </w:rPr>
        <w:t>)</w:t>
      </w:r>
      <w:r w:rsidR="00EA45BC">
        <w:rPr>
          <w:rFonts w:asciiTheme="majorHAnsi" w:hAnsiTheme="majorHAnsi"/>
          <w:sz w:val="24"/>
          <w:szCs w:val="24"/>
        </w:rPr>
        <w:t xml:space="preserve"> </w:t>
      </w:r>
      <w:r w:rsidRPr="00420500">
        <w:rPr>
          <w:rFonts w:asciiTheme="majorHAnsi" w:hAnsiTheme="majorHAnsi"/>
          <w:sz w:val="24"/>
          <w:szCs w:val="24"/>
        </w:rPr>
        <w:t xml:space="preserve">Guide to lab services, Calgary Laboratory Services. Available at: </w:t>
      </w:r>
      <w:hyperlink r:id="rId2" w:history="1">
        <w:r w:rsidRPr="00420500">
          <w:rPr>
            <w:rStyle w:val="Hyperlink"/>
            <w:rFonts w:asciiTheme="majorHAnsi" w:hAnsiTheme="majorHAnsi"/>
            <w:sz w:val="24"/>
            <w:szCs w:val="24"/>
          </w:rPr>
          <w:t>http://www.calgarylabservices.com/</w:t>
        </w:r>
      </w:hyperlink>
      <w:r w:rsidRPr="00420500">
        <w:rPr>
          <w:rFonts w:asciiTheme="majorHAnsi" w:hAnsiTheme="majorHAnsi"/>
          <w:sz w:val="24"/>
          <w:szCs w:val="24"/>
        </w:rPr>
        <w:t xml:space="preserve">. </w:t>
      </w:r>
      <w:proofErr w:type="gramStart"/>
      <w:r w:rsidR="00A3764B" w:rsidRPr="003618E1">
        <w:rPr>
          <w:rStyle w:val="HTMLCite"/>
          <w:rFonts w:asciiTheme="majorHAnsi" w:hAnsiTheme="majorHAnsi"/>
          <w:color w:val="auto"/>
          <w:sz w:val="24"/>
          <w:szCs w:val="24"/>
        </w:rPr>
        <w:t xml:space="preserve">Accessed </w:t>
      </w:r>
      <w:r w:rsidR="00A3764B">
        <w:rPr>
          <w:rStyle w:val="HTMLCite"/>
          <w:rFonts w:asciiTheme="majorHAnsi" w:hAnsiTheme="majorHAnsi"/>
          <w:color w:val="auto"/>
          <w:sz w:val="24"/>
          <w:szCs w:val="24"/>
        </w:rPr>
        <w:t>September 1, 2012</w:t>
      </w:r>
      <w:r w:rsidR="00A3764B" w:rsidRPr="003618E1">
        <w:rPr>
          <w:rStyle w:val="HTMLCite"/>
          <w:rFonts w:asciiTheme="majorHAnsi" w:hAnsiTheme="majorHAnsi"/>
          <w:color w:val="auto"/>
          <w:sz w:val="24"/>
          <w:szCs w:val="24"/>
        </w:rPr>
        <w:t>.</w:t>
      </w:r>
      <w:proofErr w:type="gramEnd"/>
    </w:p>
    <w:p w:rsidR="00231C23" w:rsidRPr="00BD7B05" w:rsidRDefault="00231C23">
      <w:pPr>
        <w:pStyle w:val="EndnoteText"/>
        <w:rPr>
          <w:rFonts w:asciiTheme="majorHAnsi" w:hAnsiTheme="majorHAnsi"/>
          <w:sz w:val="24"/>
          <w:szCs w:val="24"/>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rPr>
      <w:id w:val="699569386"/>
      <w:docPartObj>
        <w:docPartGallery w:val="Page Numbers (Bottom of Page)"/>
        <w:docPartUnique/>
      </w:docPartObj>
    </w:sdtPr>
    <w:sdtEndPr>
      <w:rPr>
        <w:color w:val="7F7F7F" w:themeColor="background1" w:themeShade="7F"/>
        <w:spacing w:val="60"/>
      </w:rPr>
    </w:sdtEndPr>
    <w:sdtContent>
      <w:p w:rsidR="00231C23" w:rsidRPr="00C22CDB" w:rsidRDefault="00AF6EA8">
        <w:pPr>
          <w:pStyle w:val="Footer"/>
          <w:pBdr>
            <w:top w:val="single" w:sz="4" w:space="1" w:color="D9D9D9" w:themeColor="background1" w:themeShade="D9"/>
          </w:pBdr>
          <w:rPr>
            <w:rFonts w:asciiTheme="majorHAnsi" w:hAnsiTheme="majorHAnsi"/>
            <w:b/>
            <w:sz w:val="20"/>
          </w:rPr>
        </w:pPr>
        <w:r w:rsidRPr="00C22CDB">
          <w:rPr>
            <w:rFonts w:asciiTheme="majorHAnsi" w:hAnsiTheme="majorHAnsi"/>
            <w:sz w:val="20"/>
          </w:rPr>
          <w:fldChar w:fldCharType="begin"/>
        </w:r>
        <w:r w:rsidR="00231C23" w:rsidRPr="00C22CDB">
          <w:rPr>
            <w:rFonts w:asciiTheme="majorHAnsi" w:hAnsiTheme="majorHAnsi"/>
            <w:sz w:val="20"/>
          </w:rPr>
          <w:instrText xml:space="preserve"> PAGE   \* MERGEFORMAT </w:instrText>
        </w:r>
        <w:r w:rsidRPr="00C22CDB">
          <w:rPr>
            <w:rFonts w:asciiTheme="majorHAnsi" w:hAnsiTheme="majorHAnsi"/>
            <w:sz w:val="20"/>
          </w:rPr>
          <w:fldChar w:fldCharType="separate"/>
        </w:r>
        <w:r w:rsidR="007B2FE2" w:rsidRPr="007B2FE2">
          <w:rPr>
            <w:rFonts w:asciiTheme="majorHAnsi" w:hAnsiTheme="majorHAnsi"/>
            <w:b/>
            <w:noProof/>
            <w:sz w:val="20"/>
          </w:rPr>
          <w:t>12</w:t>
        </w:r>
        <w:r w:rsidRPr="00C22CDB">
          <w:rPr>
            <w:rFonts w:asciiTheme="majorHAnsi" w:hAnsiTheme="majorHAnsi"/>
            <w:sz w:val="20"/>
          </w:rPr>
          <w:fldChar w:fldCharType="end"/>
        </w:r>
        <w:r w:rsidR="00231C23" w:rsidRPr="00C22CDB">
          <w:rPr>
            <w:rFonts w:asciiTheme="majorHAnsi" w:hAnsiTheme="majorHAnsi"/>
            <w:b/>
            <w:sz w:val="20"/>
          </w:rPr>
          <w:t xml:space="preserve"> | </w:t>
        </w:r>
        <w:r w:rsidR="00231C23" w:rsidRPr="00C22CDB">
          <w:rPr>
            <w:rFonts w:asciiTheme="majorHAnsi" w:hAnsiTheme="majorHAnsi"/>
            <w:color w:val="7F7F7F" w:themeColor="background1" w:themeShade="7F"/>
            <w:spacing w:val="60"/>
            <w:sz w:val="20"/>
          </w:rPr>
          <w:t>Page</w:t>
        </w:r>
      </w:p>
    </w:sdtContent>
  </w:sdt>
  <w:p w:rsidR="00231C23" w:rsidRPr="00C22CDB" w:rsidRDefault="00231C23">
    <w:pPr>
      <w:pStyle w:val="Footer"/>
      <w:rPr>
        <w:rFonts w:asciiTheme="majorHAnsi" w:hAnsiTheme="majorHAns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E73" w:rsidRDefault="00455E73" w:rsidP="003E0603">
      <w:pPr>
        <w:spacing w:after="0" w:line="240" w:lineRule="auto"/>
      </w:pPr>
      <w:r>
        <w:separator/>
      </w:r>
    </w:p>
  </w:footnote>
  <w:footnote w:type="continuationSeparator" w:id="0">
    <w:p w:rsidR="00455E73" w:rsidRDefault="00455E73" w:rsidP="003E06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71B2"/>
    <w:multiLevelType w:val="multilevel"/>
    <w:tmpl w:val="F2C4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77C60"/>
    <w:multiLevelType w:val="hybridMultilevel"/>
    <w:tmpl w:val="663C6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Arial"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8A4057"/>
    <w:multiLevelType w:val="hybridMultilevel"/>
    <w:tmpl w:val="4C7E12C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001151"/>
    <w:multiLevelType w:val="multilevel"/>
    <w:tmpl w:val="E252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7407F"/>
    <w:multiLevelType w:val="hybridMultilevel"/>
    <w:tmpl w:val="48D0B678"/>
    <w:lvl w:ilvl="0" w:tplc="549AF5EE">
      <w:numFmt w:val="bullet"/>
      <w:lvlText w:val="-"/>
      <w:lvlJc w:val="left"/>
      <w:pPr>
        <w:ind w:left="720" w:hanging="360"/>
      </w:pPr>
      <w:rPr>
        <w:rFonts w:ascii="Cambria" w:eastAsia="Calibri" w:hAnsi="Cambri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stylePaneFormatFilter w:val="1024"/>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
  <w:rsids>
    <w:rsidRoot w:val="00083109"/>
    <w:rsid w:val="00011F3D"/>
    <w:rsid w:val="00012ACC"/>
    <w:rsid w:val="00023799"/>
    <w:rsid w:val="00024971"/>
    <w:rsid w:val="0002575D"/>
    <w:rsid w:val="0003623A"/>
    <w:rsid w:val="00067FA4"/>
    <w:rsid w:val="000718B0"/>
    <w:rsid w:val="00082B42"/>
    <w:rsid w:val="00083109"/>
    <w:rsid w:val="0009160F"/>
    <w:rsid w:val="00093C46"/>
    <w:rsid w:val="000945A1"/>
    <w:rsid w:val="000B45BE"/>
    <w:rsid w:val="000B5E8C"/>
    <w:rsid w:val="000D587F"/>
    <w:rsid w:val="000D60E8"/>
    <w:rsid w:val="000D739F"/>
    <w:rsid w:val="000F0F90"/>
    <w:rsid w:val="000F45F5"/>
    <w:rsid w:val="00107C37"/>
    <w:rsid w:val="001125CF"/>
    <w:rsid w:val="00123165"/>
    <w:rsid w:val="00135CA4"/>
    <w:rsid w:val="00141BAB"/>
    <w:rsid w:val="00157AED"/>
    <w:rsid w:val="00170D24"/>
    <w:rsid w:val="001732D0"/>
    <w:rsid w:val="00192F59"/>
    <w:rsid w:val="001A3637"/>
    <w:rsid w:val="001A758A"/>
    <w:rsid w:val="001B0424"/>
    <w:rsid w:val="001C2C67"/>
    <w:rsid w:val="001C4CAD"/>
    <w:rsid w:val="001C5FAF"/>
    <w:rsid w:val="001E61F5"/>
    <w:rsid w:val="001E708B"/>
    <w:rsid w:val="001F7FE1"/>
    <w:rsid w:val="00205BC7"/>
    <w:rsid w:val="00216112"/>
    <w:rsid w:val="00231C23"/>
    <w:rsid w:val="0026529F"/>
    <w:rsid w:val="0027090F"/>
    <w:rsid w:val="002730B6"/>
    <w:rsid w:val="002C6431"/>
    <w:rsid w:val="002D4C15"/>
    <w:rsid w:val="002D6762"/>
    <w:rsid w:val="002E00D3"/>
    <w:rsid w:val="002E5468"/>
    <w:rsid w:val="002F0A2A"/>
    <w:rsid w:val="0031705A"/>
    <w:rsid w:val="00340D70"/>
    <w:rsid w:val="00347CBA"/>
    <w:rsid w:val="003614F0"/>
    <w:rsid w:val="003618E1"/>
    <w:rsid w:val="00365D0A"/>
    <w:rsid w:val="00371A95"/>
    <w:rsid w:val="00390DA3"/>
    <w:rsid w:val="003C1FF4"/>
    <w:rsid w:val="003D0640"/>
    <w:rsid w:val="003D3170"/>
    <w:rsid w:val="003D626B"/>
    <w:rsid w:val="003E0603"/>
    <w:rsid w:val="003E478D"/>
    <w:rsid w:val="00405866"/>
    <w:rsid w:val="00410CCB"/>
    <w:rsid w:val="00420500"/>
    <w:rsid w:val="004260E2"/>
    <w:rsid w:val="0042630F"/>
    <w:rsid w:val="00426499"/>
    <w:rsid w:val="00431BC8"/>
    <w:rsid w:val="00441DF7"/>
    <w:rsid w:val="00444821"/>
    <w:rsid w:val="00453318"/>
    <w:rsid w:val="00455E73"/>
    <w:rsid w:val="00480168"/>
    <w:rsid w:val="0048176E"/>
    <w:rsid w:val="004B69AE"/>
    <w:rsid w:val="004C4B09"/>
    <w:rsid w:val="004D2769"/>
    <w:rsid w:val="004E3A53"/>
    <w:rsid w:val="005110C7"/>
    <w:rsid w:val="00517B1F"/>
    <w:rsid w:val="00527AAE"/>
    <w:rsid w:val="00555A99"/>
    <w:rsid w:val="00556C23"/>
    <w:rsid w:val="00557641"/>
    <w:rsid w:val="0056613E"/>
    <w:rsid w:val="005706C3"/>
    <w:rsid w:val="00595560"/>
    <w:rsid w:val="00597E47"/>
    <w:rsid w:val="005A2FF6"/>
    <w:rsid w:val="005B36D8"/>
    <w:rsid w:val="005E5491"/>
    <w:rsid w:val="005E65F0"/>
    <w:rsid w:val="00610E45"/>
    <w:rsid w:val="00634243"/>
    <w:rsid w:val="00666FD0"/>
    <w:rsid w:val="00680523"/>
    <w:rsid w:val="006A7E67"/>
    <w:rsid w:val="006C0717"/>
    <w:rsid w:val="006C48BA"/>
    <w:rsid w:val="006D4029"/>
    <w:rsid w:val="006E53AE"/>
    <w:rsid w:val="006E5845"/>
    <w:rsid w:val="006F2B56"/>
    <w:rsid w:val="006F2DA0"/>
    <w:rsid w:val="00703BCE"/>
    <w:rsid w:val="00713F5D"/>
    <w:rsid w:val="00716BAF"/>
    <w:rsid w:val="007170EB"/>
    <w:rsid w:val="00717D46"/>
    <w:rsid w:val="00730E70"/>
    <w:rsid w:val="007469DC"/>
    <w:rsid w:val="007554A9"/>
    <w:rsid w:val="00757F37"/>
    <w:rsid w:val="00770026"/>
    <w:rsid w:val="007711EF"/>
    <w:rsid w:val="0079341B"/>
    <w:rsid w:val="00794C73"/>
    <w:rsid w:val="007A2AA2"/>
    <w:rsid w:val="007B02BD"/>
    <w:rsid w:val="007B1AE1"/>
    <w:rsid w:val="007B2FE2"/>
    <w:rsid w:val="007B3621"/>
    <w:rsid w:val="007C53A8"/>
    <w:rsid w:val="007E04AF"/>
    <w:rsid w:val="007E1935"/>
    <w:rsid w:val="007F4827"/>
    <w:rsid w:val="007F52EB"/>
    <w:rsid w:val="00810A76"/>
    <w:rsid w:val="00831464"/>
    <w:rsid w:val="008331D9"/>
    <w:rsid w:val="00857E61"/>
    <w:rsid w:val="00867A1F"/>
    <w:rsid w:val="00877D97"/>
    <w:rsid w:val="0088252D"/>
    <w:rsid w:val="008A2EB2"/>
    <w:rsid w:val="008B708D"/>
    <w:rsid w:val="008C2212"/>
    <w:rsid w:val="008C3CC7"/>
    <w:rsid w:val="008C46E2"/>
    <w:rsid w:val="008C7DDB"/>
    <w:rsid w:val="008D535D"/>
    <w:rsid w:val="008F3683"/>
    <w:rsid w:val="009055C8"/>
    <w:rsid w:val="00910F4A"/>
    <w:rsid w:val="00923C68"/>
    <w:rsid w:val="00926328"/>
    <w:rsid w:val="00933FA1"/>
    <w:rsid w:val="009431A4"/>
    <w:rsid w:val="0094758B"/>
    <w:rsid w:val="0096700D"/>
    <w:rsid w:val="009725CC"/>
    <w:rsid w:val="0098178E"/>
    <w:rsid w:val="00993F8D"/>
    <w:rsid w:val="00996C43"/>
    <w:rsid w:val="009B15BF"/>
    <w:rsid w:val="009B484D"/>
    <w:rsid w:val="009B7C2B"/>
    <w:rsid w:val="009C5814"/>
    <w:rsid w:val="009C7715"/>
    <w:rsid w:val="009E3872"/>
    <w:rsid w:val="009E3BCA"/>
    <w:rsid w:val="00A324FF"/>
    <w:rsid w:val="00A33D38"/>
    <w:rsid w:val="00A34A19"/>
    <w:rsid w:val="00A3764B"/>
    <w:rsid w:val="00A504B3"/>
    <w:rsid w:val="00A54A81"/>
    <w:rsid w:val="00A56B7B"/>
    <w:rsid w:val="00A65131"/>
    <w:rsid w:val="00A717C5"/>
    <w:rsid w:val="00A74C8F"/>
    <w:rsid w:val="00A83E70"/>
    <w:rsid w:val="00A91200"/>
    <w:rsid w:val="00A95590"/>
    <w:rsid w:val="00AA302A"/>
    <w:rsid w:val="00AA647F"/>
    <w:rsid w:val="00AB138D"/>
    <w:rsid w:val="00AC7F63"/>
    <w:rsid w:val="00AD41B8"/>
    <w:rsid w:val="00AF559B"/>
    <w:rsid w:val="00AF6EA8"/>
    <w:rsid w:val="00B055C5"/>
    <w:rsid w:val="00B108FB"/>
    <w:rsid w:val="00B322CF"/>
    <w:rsid w:val="00B35D71"/>
    <w:rsid w:val="00B63C0C"/>
    <w:rsid w:val="00B73268"/>
    <w:rsid w:val="00B7515F"/>
    <w:rsid w:val="00B75DB2"/>
    <w:rsid w:val="00B80779"/>
    <w:rsid w:val="00B913AA"/>
    <w:rsid w:val="00B95515"/>
    <w:rsid w:val="00BD5055"/>
    <w:rsid w:val="00BD7B05"/>
    <w:rsid w:val="00C05AC5"/>
    <w:rsid w:val="00C163ED"/>
    <w:rsid w:val="00C22CDB"/>
    <w:rsid w:val="00C30CE4"/>
    <w:rsid w:val="00C36A99"/>
    <w:rsid w:val="00C40C2E"/>
    <w:rsid w:val="00C42E31"/>
    <w:rsid w:val="00C47113"/>
    <w:rsid w:val="00C73067"/>
    <w:rsid w:val="00C862F2"/>
    <w:rsid w:val="00C9444A"/>
    <w:rsid w:val="00CA1CCC"/>
    <w:rsid w:val="00CC2BCD"/>
    <w:rsid w:val="00CD30C4"/>
    <w:rsid w:val="00CE74B1"/>
    <w:rsid w:val="00D25881"/>
    <w:rsid w:val="00D33C28"/>
    <w:rsid w:val="00D51FB4"/>
    <w:rsid w:val="00D5783D"/>
    <w:rsid w:val="00D60262"/>
    <w:rsid w:val="00D60705"/>
    <w:rsid w:val="00D64DCF"/>
    <w:rsid w:val="00D6537F"/>
    <w:rsid w:val="00D66E9C"/>
    <w:rsid w:val="00D71344"/>
    <w:rsid w:val="00D86BB8"/>
    <w:rsid w:val="00DA3DED"/>
    <w:rsid w:val="00DD59E8"/>
    <w:rsid w:val="00DD5C1B"/>
    <w:rsid w:val="00DF4B8F"/>
    <w:rsid w:val="00E0643C"/>
    <w:rsid w:val="00E42E05"/>
    <w:rsid w:val="00E51056"/>
    <w:rsid w:val="00E65849"/>
    <w:rsid w:val="00E95C6C"/>
    <w:rsid w:val="00EA45BC"/>
    <w:rsid w:val="00EA59E8"/>
    <w:rsid w:val="00EB0522"/>
    <w:rsid w:val="00EB4F04"/>
    <w:rsid w:val="00EC31FE"/>
    <w:rsid w:val="00EC4E61"/>
    <w:rsid w:val="00EE5A6C"/>
    <w:rsid w:val="00EE5E92"/>
    <w:rsid w:val="00F02E54"/>
    <w:rsid w:val="00F058AE"/>
    <w:rsid w:val="00F2235D"/>
    <w:rsid w:val="00F30326"/>
    <w:rsid w:val="00F449DE"/>
    <w:rsid w:val="00F46F0F"/>
    <w:rsid w:val="00F53F11"/>
    <w:rsid w:val="00FA2B1D"/>
    <w:rsid w:val="00FC0C45"/>
    <w:rsid w:val="00FC1327"/>
    <w:rsid w:val="00FC5347"/>
    <w:rsid w:val="00FE00F1"/>
    <w:rsid w:val="00FE6859"/>
    <w:rsid w:val="00FF55F7"/>
  </w:rsids>
  <m:mathPr>
    <m:mathFont m:val="Cambria Math"/>
    <m:brkBin m:val="before"/>
    <m:brkBinSub m:val="--"/>
    <m:smallFrac m:val="off"/>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603"/>
    <w:pPr>
      <w:spacing w:after="200" w:line="276" w:lineRule="auto"/>
    </w:pPr>
    <w:rPr>
      <w:sz w:val="22"/>
      <w:szCs w:val="22"/>
      <w:lang w:eastAsia="en-US"/>
    </w:rPr>
  </w:style>
  <w:style w:type="paragraph" w:styleId="Heading1">
    <w:name w:val="heading 1"/>
    <w:basedOn w:val="Normal"/>
    <w:next w:val="Normal"/>
    <w:link w:val="Heading1Char"/>
    <w:uiPriority w:val="9"/>
    <w:qFormat/>
    <w:rsid w:val="00996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A95590"/>
    <w:pPr>
      <w:spacing w:before="100" w:beforeAutospacing="1" w:after="100" w:afterAutospacing="1" w:line="240" w:lineRule="auto"/>
      <w:outlineLvl w:val="3"/>
    </w:pPr>
    <w:rPr>
      <w:rFonts w:ascii="Times New Roman" w:eastAsia="Times New Roman" w:hAnsi="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F5D"/>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3E06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0603"/>
    <w:rPr>
      <w:lang w:eastAsia="en-US"/>
    </w:rPr>
  </w:style>
  <w:style w:type="character" w:styleId="EndnoteReference">
    <w:name w:val="endnote reference"/>
    <w:basedOn w:val="DefaultParagraphFont"/>
    <w:uiPriority w:val="99"/>
    <w:unhideWhenUsed/>
    <w:rsid w:val="00EB0522"/>
    <w:rPr>
      <w:sz w:val="24"/>
      <w:vertAlign w:val="baseline"/>
    </w:rPr>
  </w:style>
  <w:style w:type="character" w:styleId="Hyperlink">
    <w:name w:val="Hyperlink"/>
    <w:basedOn w:val="DefaultParagraphFont"/>
    <w:uiPriority w:val="99"/>
    <w:unhideWhenUsed/>
    <w:rsid w:val="009E3BCA"/>
    <w:rPr>
      <w:color w:val="0000FF"/>
      <w:u w:val="single"/>
    </w:rPr>
  </w:style>
  <w:style w:type="character" w:styleId="CommentReference">
    <w:name w:val="annotation reference"/>
    <w:basedOn w:val="DefaultParagraphFont"/>
    <w:uiPriority w:val="99"/>
    <w:semiHidden/>
    <w:unhideWhenUsed/>
    <w:rsid w:val="00D51FB4"/>
    <w:rPr>
      <w:sz w:val="16"/>
      <w:szCs w:val="16"/>
    </w:rPr>
  </w:style>
  <w:style w:type="paragraph" w:styleId="CommentText">
    <w:name w:val="annotation text"/>
    <w:basedOn w:val="Normal"/>
    <w:link w:val="CommentTextChar"/>
    <w:uiPriority w:val="99"/>
    <w:semiHidden/>
    <w:unhideWhenUsed/>
    <w:rsid w:val="00D51FB4"/>
    <w:pPr>
      <w:spacing w:line="240" w:lineRule="auto"/>
    </w:pPr>
    <w:rPr>
      <w:sz w:val="20"/>
      <w:szCs w:val="20"/>
    </w:rPr>
  </w:style>
  <w:style w:type="character" w:customStyle="1" w:styleId="CommentTextChar">
    <w:name w:val="Comment Text Char"/>
    <w:basedOn w:val="DefaultParagraphFont"/>
    <w:link w:val="CommentText"/>
    <w:uiPriority w:val="99"/>
    <w:semiHidden/>
    <w:rsid w:val="00D51FB4"/>
    <w:rPr>
      <w:lang w:eastAsia="en-US"/>
    </w:rPr>
  </w:style>
  <w:style w:type="paragraph" w:styleId="CommentSubject">
    <w:name w:val="annotation subject"/>
    <w:basedOn w:val="CommentText"/>
    <w:next w:val="CommentText"/>
    <w:link w:val="CommentSubjectChar"/>
    <w:uiPriority w:val="99"/>
    <w:semiHidden/>
    <w:unhideWhenUsed/>
    <w:rsid w:val="00D51FB4"/>
    <w:rPr>
      <w:b/>
      <w:bCs/>
    </w:rPr>
  </w:style>
  <w:style w:type="character" w:customStyle="1" w:styleId="CommentSubjectChar">
    <w:name w:val="Comment Subject Char"/>
    <w:basedOn w:val="CommentTextChar"/>
    <w:link w:val="CommentSubject"/>
    <w:uiPriority w:val="99"/>
    <w:semiHidden/>
    <w:rsid w:val="00D51FB4"/>
    <w:rPr>
      <w:b/>
      <w:bCs/>
      <w:lang w:eastAsia="en-US"/>
    </w:rPr>
  </w:style>
  <w:style w:type="paragraph" w:styleId="BalloonText">
    <w:name w:val="Balloon Text"/>
    <w:basedOn w:val="Normal"/>
    <w:link w:val="BalloonTextChar"/>
    <w:uiPriority w:val="99"/>
    <w:semiHidden/>
    <w:unhideWhenUsed/>
    <w:rsid w:val="00D51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B4"/>
    <w:rPr>
      <w:rFonts w:ascii="Tahoma" w:hAnsi="Tahoma" w:cs="Tahoma"/>
      <w:sz w:val="16"/>
      <w:szCs w:val="16"/>
      <w:lang w:eastAsia="en-US"/>
    </w:rPr>
  </w:style>
  <w:style w:type="character" w:styleId="HTMLCite">
    <w:name w:val="HTML Cite"/>
    <w:basedOn w:val="DefaultParagraphFont"/>
    <w:uiPriority w:val="99"/>
    <w:semiHidden/>
    <w:unhideWhenUsed/>
    <w:rsid w:val="0098178E"/>
    <w:rPr>
      <w:i w:val="0"/>
      <w:iCs w:val="0"/>
      <w:color w:val="0E774A"/>
    </w:rPr>
  </w:style>
  <w:style w:type="paragraph" w:styleId="Revision">
    <w:name w:val="Revision"/>
    <w:hidden/>
    <w:uiPriority w:val="99"/>
    <w:semiHidden/>
    <w:rsid w:val="00365D0A"/>
    <w:rPr>
      <w:sz w:val="22"/>
      <w:szCs w:val="22"/>
      <w:lang w:eastAsia="en-US"/>
    </w:rPr>
  </w:style>
  <w:style w:type="character" w:customStyle="1" w:styleId="Heading4Char">
    <w:name w:val="Heading 4 Char"/>
    <w:basedOn w:val="DefaultParagraphFont"/>
    <w:link w:val="Heading4"/>
    <w:uiPriority w:val="9"/>
    <w:rsid w:val="00A95590"/>
    <w:rPr>
      <w:rFonts w:ascii="Times New Roman" w:eastAsia="Times New Roman" w:hAnsi="Times New Roman"/>
      <w:b/>
      <w:bCs/>
      <w:sz w:val="24"/>
      <w:szCs w:val="24"/>
    </w:rPr>
  </w:style>
  <w:style w:type="paragraph" w:customStyle="1" w:styleId="follows-h4">
    <w:name w:val="follows-h4"/>
    <w:basedOn w:val="Normal"/>
    <w:rsid w:val="00A95590"/>
    <w:pPr>
      <w:spacing w:before="100" w:beforeAutospacing="1" w:after="100" w:afterAutospacing="1" w:line="240" w:lineRule="auto"/>
    </w:pPr>
    <w:rPr>
      <w:rFonts w:ascii="Times New Roman" w:eastAsia="Times New Roman" w:hAnsi="Times New Roman"/>
      <w:sz w:val="24"/>
      <w:szCs w:val="24"/>
      <w:lang w:eastAsia="en-CA"/>
    </w:rPr>
  </w:style>
  <w:style w:type="character" w:styleId="FollowedHyperlink">
    <w:name w:val="FollowedHyperlink"/>
    <w:basedOn w:val="DefaultParagraphFont"/>
    <w:uiPriority w:val="99"/>
    <w:semiHidden/>
    <w:unhideWhenUsed/>
    <w:rsid w:val="000D739F"/>
    <w:rPr>
      <w:color w:val="800080" w:themeColor="followedHyperlink"/>
      <w:u w:val="single"/>
    </w:rPr>
  </w:style>
  <w:style w:type="paragraph" w:styleId="ListParagraph">
    <w:name w:val="List Paragraph"/>
    <w:basedOn w:val="Normal"/>
    <w:uiPriority w:val="34"/>
    <w:qFormat/>
    <w:rsid w:val="00EB4F04"/>
    <w:pPr>
      <w:ind w:left="720"/>
      <w:contextualSpacing/>
    </w:pPr>
  </w:style>
  <w:style w:type="paragraph" w:styleId="NormalWeb">
    <w:name w:val="Normal (Web)"/>
    <w:basedOn w:val="Normal"/>
    <w:uiPriority w:val="99"/>
    <w:semiHidden/>
    <w:unhideWhenUsed/>
    <w:rsid w:val="00F2235D"/>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Heading1Char">
    <w:name w:val="Heading 1 Char"/>
    <w:basedOn w:val="DefaultParagraphFont"/>
    <w:link w:val="Heading1"/>
    <w:uiPriority w:val="9"/>
    <w:rsid w:val="00996C43"/>
    <w:rPr>
      <w:rFonts w:asciiTheme="majorHAnsi" w:eastAsiaTheme="majorEastAsia" w:hAnsiTheme="majorHAnsi" w:cstheme="majorBidi"/>
      <w:b/>
      <w:bCs/>
      <w:color w:val="365F91" w:themeColor="accent1" w:themeShade="BF"/>
      <w:sz w:val="28"/>
      <w:szCs w:val="28"/>
      <w:lang w:eastAsia="en-US"/>
    </w:rPr>
  </w:style>
  <w:style w:type="character" w:customStyle="1" w:styleId="highlight">
    <w:name w:val="highlight"/>
    <w:basedOn w:val="DefaultParagraphFont"/>
    <w:rsid w:val="00996C43"/>
  </w:style>
  <w:style w:type="paragraph" w:styleId="Header">
    <w:name w:val="header"/>
    <w:basedOn w:val="Normal"/>
    <w:link w:val="HeaderChar"/>
    <w:uiPriority w:val="99"/>
    <w:semiHidden/>
    <w:unhideWhenUsed/>
    <w:rsid w:val="00C22C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2CDB"/>
    <w:rPr>
      <w:sz w:val="22"/>
      <w:szCs w:val="22"/>
      <w:lang w:eastAsia="en-US"/>
    </w:rPr>
  </w:style>
  <w:style w:type="paragraph" w:styleId="Footer">
    <w:name w:val="footer"/>
    <w:basedOn w:val="Normal"/>
    <w:link w:val="FooterChar"/>
    <w:uiPriority w:val="99"/>
    <w:unhideWhenUsed/>
    <w:rsid w:val="00C2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CD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603"/>
    <w:pPr>
      <w:spacing w:after="200" w:line="276" w:lineRule="auto"/>
    </w:pPr>
    <w:rPr>
      <w:sz w:val="22"/>
      <w:szCs w:val="22"/>
      <w:lang w:eastAsia="en-US"/>
    </w:rPr>
  </w:style>
  <w:style w:type="paragraph" w:styleId="Heading1">
    <w:name w:val="heading 1"/>
    <w:basedOn w:val="Normal"/>
    <w:next w:val="Normal"/>
    <w:link w:val="Heading1Char"/>
    <w:uiPriority w:val="9"/>
    <w:qFormat/>
    <w:rsid w:val="00996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A95590"/>
    <w:pPr>
      <w:spacing w:before="100" w:beforeAutospacing="1" w:after="100" w:afterAutospacing="1" w:line="240" w:lineRule="auto"/>
      <w:outlineLvl w:val="3"/>
    </w:pPr>
    <w:rPr>
      <w:rFonts w:ascii="Times New Roman" w:eastAsia="Times New Roman" w:hAnsi="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F5D"/>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3E06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0603"/>
    <w:rPr>
      <w:lang w:eastAsia="en-US"/>
    </w:rPr>
  </w:style>
  <w:style w:type="character" w:styleId="EndnoteReference">
    <w:name w:val="endnote reference"/>
    <w:basedOn w:val="DefaultParagraphFont"/>
    <w:uiPriority w:val="99"/>
    <w:unhideWhenUsed/>
    <w:rsid w:val="00EB0522"/>
    <w:rPr>
      <w:sz w:val="24"/>
      <w:vertAlign w:val="baseline"/>
    </w:rPr>
  </w:style>
  <w:style w:type="character" w:styleId="Hyperlink">
    <w:name w:val="Hyperlink"/>
    <w:basedOn w:val="DefaultParagraphFont"/>
    <w:uiPriority w:val="99"/>
    <w:unhideWhenUsed/>
    <w:rsid w:val="009E3BCA"/>
    <w:rPr>
      <w:color w:val="0000FF"/>
      <w:u w:val="single"/>
    </w:rPr>
  </w:style>
  <w:style w:type="character" w:styleId="CommentReference">
    <w:name w:val="annotation reference"/>
    <w:basedOn w:val="DefaultParagraphFont"/>
    <w:uiPriority w:val="99"/>
    <w:semiHidden/>
    <w:unhideWhenUsed/>
    <w:rsid w:val="00D51FB4"/>
    <w:rPr>
      <w:sz w:val="16"/>
      <w:szCs w:val="16"/>
    </w:rPr>
  </w:style>
  <w:style w:type="paragraph" w:styleId="CommentText">
    <w:name w:val="annotation text"/>
    <w:basedOn w:val="Normal"/>
    <w:link w:val="CommentTextChar"/>
    <w:uiPriority w:val="99"/>
    <w:semiHidden/>
    <w:unhideWhenUsed/>
    <w:rsid w:val="00D51FB4"/>
    <w:pPr>
      <w:spacing w:line="240" w:lineRule="auto"/>
    </w:pPr>
    <w:rPr>
      <w:sz w:val="20"/>
      <w:szCs w:val="20"/>
    </w:rPr>
  </w:style>
  <w:style w:type="character" w:customStyle="1" w:styleId="CommentTextChar">
    <w:name w:val="Comment Text Char"/>
    <w:basedOn w:val="DefaultParagraphFont"/>
    <w:link w:val="CommentText"/>
    <w:uiPriority w:val="99"/>
    <w:semiHidden/>
    <w:rsid w:val="00D51FB4"/>
    <w:rPr>
      <w:lang w:eastAsia="en-US"/>
    </w:rPr>
  </w:style>
  <w:style w:type="paragraph" w:styleId="CommentSubject">
    <w:name w:val="annotation subject"/>
    <w:basedOn w:val="CommentText"/>
    <w:next w:val="CommentText"/>
    <w:link w:val="CommentSubjectChar"/>
    <w:uiPriority w:val="99"/>
    <w:semiHidden/>
    <w:unhideWhenUsed/>
    <w:rsid w:val="00D51FB4"/>
    <w:rPr>
      <w:b/>
      <w:bCs/>
    </w:rPr>
  </w:style>
  <w:style w:type="character" w:customStyle="1" w:styleId="CommentSubjectChar">
    <w:name w:val="Comment Subject Char"/>
    <w:basedOn w:val="CommentTextChar"/>
    <w:link w:val="CommentSubject"/>
    <w:uiPriority w:val="99"/>
    <w:semiHidden/>
    <w:rsid w:val="00D51FB4"/>
    <w:rPr>
      <w:b/>
      <w:bCs/>
      <w:lang w:eastAsia="en-US"/>
    </w:rPr>
  </w:style>
  <w:style w:type="paragraph" w:styleId="BalloonText">
    <w:name w:val="Balloon Text"/>
    <w:basedOn w:val="Normal"/>
    <w:link w:val="BalloonTextChar"/>
    <w:uiPriority w:val="99"/>
    <w:semiHidden/>
    <w:unhideWhenUsed/>
    <w:rsid w:val="00D51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B4"/>
    <w:rPr>
      <w:rFonts w:ascii="Tahoma" w:hAnsi="Tahoma" w:cs="Tahoma"/>
      <w:sz w:val="16"/>
      <w:szCs w:val="16"/>
      <w:lang w:eastAsia="en-US"/>
    </w:rPr>
  </w:style>
  <w:style w:type="character" w:styleId="HTMLCite">
    <w:name w:val="HTML Cite"/>
    <w:basedOn w:val="DefaultParagraphFont"/>
    <w:uiPriority w:val="99"/>
    <w:semiHidden/>
    <w:unhideWhenUsed/>
    <w:rsid w:val="0098178E"/>
    <w:rPr>
      <w:i w:val="0"/>
      <w:iCs w:val="0"/>
      <w:color w:val="0E774A"/>
    </w:rPr>
  </w:style>
  <w:style w:type="paragraph" w:styleId="Revision">
    <w:name w:val="Revision"/>
    <w:hidden/>
    <w:uiPriority w:val="99"/>
    <w:semiHidden/>
    <w:rsid w:val="00365D0A"/>
    <w:rPr>
      <w:sz w:val="22"/>
      <w:szCs w:val="22"/>
      <w:lang w:eastAsia="en-US"/>
    </w:rPr>
  </w:style>
  <w:style w:type="character" w:customStyle="1" w:styleId="Heading4Char">
    <w:name w:val="Heading 4 Char"/>
    <w:basedOn w:val="DefaultParagraphFont"/>
    <w:link w:val="Heading4"/>
    <w:uiPriority w:val="9"/>
    <w:rsid w:val="00A95590"/>
    <w:rPr>
      <w:rFonts w:ascii="Times New Roman" w:eastAsia="Times New Roman" w:hAnsi="Times New Roman"/>
      <w:b/>
      <w:bCs/>
      <w:sz w:val="24"/>
      <w:szCs w:val="24"/>
    </w:rPr>
  </w:style>
  <w:style w:type="paragraph" w:customStyle="1" w:styleId="follows-h4">
    <w:name w:val="follows-h4"/>
    <w:basedOn w:val="Normal"/>
    <w:rsid w:val="00A95590"/>
    <w:pPr>
      <w:spacing w:before="100" w:beforeAutospacing="1" w:after="100" w:afterAutospacing="1" w:line="240" w:lineRule="auto"/>
    </w:pPr>
    <w:rPr>
      <w:rFonts w:ascii="Times New Roman" w:eastAsia="Times New Roman" w:hAnsi="Times New Roman"/>
      <w:sz w:val="24"/>
      <w:szCs w:val="24"/>
      <w:lang w:eastAsia="en-CA"/>
    </w:rPr>
  </w:style>
  <w:style w:type="character" w:styleId="FollowedHyperlink">
    <w:name w:val="FollowedHyperlink"/>
    <w:basedOn w:val="DefaultParagraphFont"/>
    <w:uiPriority w:val="99"/>
    <w:semiHidden/>
    <w:unhideWhenUsed/>
    <w:rsid w:val="000D739F"/>
    <w:rPr>
      <w:color w:val="800080" w:themeColor="followedHyperlink"/>
      <w:u w:val="single"/>
    </w:rPr>
  </w:style>
  <w:style w:type="paragraph" w:styleId="ListParagraph">
    <w:name w:val="List Paragraph"/>
    <w:basedOn w:val="Normal"/>
    <w:uiPriority w:val="34"/>
    <w:qFormat/>
    <w:rsid w:val="00EB4F04"/>
    <w:pPr>
      <w:ind w:left="720"/>
      <w:contextualSpacing/>
    </w:pPr>
  </w:style>
  <w:style w:type="paragraph" w:styleId="NormalWeb">
    <w:name w:val="Normal (Web)"/>
    <w:basedOn w:val="Normal"/>
    <w:uiPriority w:val="99"/>
    <w:semiHidden/>
    <w:unhideWhenUsed/>
    <w:rsid w:val="00F2235D"/>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Heading1Char">
    <w:name w:val="Heading 1 Char"/>
    <w:basedOn w:val="DefaultParagraphFont"/>
    <w:link w:val="Heading1"/>
    <w:uiPriority w:val="9"/>
    <w:rsid w:val="00996C43"/>
    <w:rPr>
      <w:rFonts w:asciiTheme="majorHAnsi" w:eastAsiaTheme="majorEastAsia" w:hAnsiTheme="majorHAnsi" w:cstheme="majorBidi"/>
      <w:b/>
      <w:bCs/>
      <w:color w:val="365F91" w:themeColor="accent1" w:themeShade="BF"/>
      <w:sz w:val="28"/>
      <w:szCs w:val="28"/>
      <w:lang w:eastAsia="en-US"/>
    </w:rPr>
  </w:style>
  <w:style w:type="character" w:customStyle="1" w:styleId="highlight">
    <w:name w:val="highlight"/>
    <w:basedOn w:val="DefaultParagraphFont"/>
    <w:rsid w:val="00996C43"/>
  </w:style>
  <w:style w:type="paragraph" w:styleId="Header">
    <w:name w:val="header"/>
    <w:basedOn w:val="Normal"/>
    <w:link w:val="HeaderChar"/>
    <w:uiPriority w:val="99"/>
    <w:semiHidden/>
    <w:unhideWhenUsed/>
    <w:rsid w:val="00C22C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2CDB"/>
    <w:rPr>
      <w:sz w:val="22"/>
      <w:szCs w:val="22"/>
      <w:lang w:eastAsia="en-US"/>
    </w:rPr>
  </w:style>
  <w:style w:type="paragraph" w:styleId="Footer">
    <w:name w:val="footer"/>
    <w:basedOn w:val="Normal"/>
    <w:link w:val="FooterChar"/>
    <w:uiPriority w:val="99"/>
    <w:unhideWhenUsed/>
    <w:rsid w:val="00C2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CD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7850556">
      <w:bodyDiv w:val="1"/>
      <w:marLeft w:val="0"/>
      <w:marRight w:val="0"/>
      <w:marTop w:val="0"/>
      <w:marBottom w:val="0"/>
      <w:divBdr>
        <w:top w:val="none" w:sz="0" w:space="0" w:color="auto"/>
        <w:left w:val="none" w:sz="0" w:space="0" w:color="auto"/>
        <w:bottom w:val="none" w:sz="0" w:space="0" w:color="auto"/>
        <w:right w:val="none" w:sz="0" w:space="0" w:color="auto"/>
      </w:divBdr>
    </w:div>
    <w:div w:id="123277318">
      <w:bodyDiv w:val="1"/>
      <w:marLeft w:val="0"/>
      <w:marRight w:val="0"/>
      <w:marTop w:val="0"/>
      <w:marBottom w:val="0"/>
      <w:divBdr>
        <w:top w:val="none" w:sz="0" w:space="0" w:color="auto"/>
        <w:left w:val="none" w:sz="0" w:space="0" w:color="auto"/>
        <w:bottom w:val="none" w:sz="0" w:space="0" w:color="auto"/>
        <w:right w:val="none" w:sz="0" w:space="0" w:color="auto"/>
      </w:divBdr>
    </w:div>
    <w:div w:id="138766562">
      <w:bodyDiv w:val="1"/>
      <w:marLeft w:val="0"/>
      <w:marRight w:val="0"/>
      <w:marTop w:val="0"/>
      <w:marBottom w:val="0"/>
      <w:divBdr>
        <w:top w:val="none" w:sz="0" w:space="0" w:color="auto"/>
        <w:left w:val="none" w:sz="0" w:space="0" w:color="auto"/>
        <w:bottom w:val="none" w:sz="0" w:space="0" w:color="auto"/>
        <w:right w:val="none" w:sz="0" w:space="0" w:color="auto"/>
      </w:divBdr>
    </w:div>
    <w:div w:id="150408663">
      <w:bodyDiv w:val="1"/>
      <w:marLeft w:val="0"/>
      <w:marRight w:val="0"/>
      <w:marTop w:val="0"/>
      <w:marBottom w:val="0"/>
      <w:divBdr>
        <w:top w:val="none" w:sz="0" w:space="0" w:color="auto"/>
        <w:left w:val="none" w:sz="0" w:space="0" w:color="auto"/>
        <w:bottom w:val="none" w:sz="0" w:space="0" w:color="auto"/>
        <w:right w:val="none" w:sz="0" w:space="0" w:color="auto"/>
      </w:divBdr>
    </w:div>
    <w:div w:id="159925693">
      <w:bodyDiv w:val="1"/>
      <w:marLeft w:val="0"/>
      <w:marRight w:val="0"/>
      <w:marTop w:val="0"/>
      <w:marBottom w:val="0"/>
      <w:divBdr>
        <w:top w:val="none" w:sz="0" w:space="0" w:color="auto"/>
        <w:left w:val="none" w:sz="0" w:space="0" w:color="auto"/>
        <w:bottom w:val="none" w:sz="0" w:space="0" w:color="auto"/>
        <w:right w:val="none" w:sz="0" w:space="0" w:color="auto"/>
      </w:divBdr>
    </w:div>
    <w:div w:id="181630622">
      <w:bodyDiv w:val="1"/>
      <w:marLeft w:val="0"/>
      <w:marRight w:val="0"/>
      <w:marTop w:val="0"/>
      <w:marBottom w:val="0"/>
      <w:divBdr>
        <w:top w:val="none" w:sz="0" w:space="0" w:color="auto"/>
        <w:left w:val="none" w:sz="0" w:space="0" w:color="auto"/>
        <w:bottom w:val="none" w:sz="0" w:space="0" w:color="auto"/>
        <w:right w:val="none" w:sz="0" w:space="0" w:color="auto"/>
      </w:divBdr>
    </w:div>
    <w:div w:id="188833615">
      <w:bodyDiv w:val="1"/>
      <w:marLeft w:val="0"/>
      <w:marRight w:val="0"/>
      <w:marTop w:val="0"/>
      <w:marBottom w:val="0"/>
      <w:divBdr>
        <w:top w:val="none" w:sz="0" w:space="0" w:color="auto"/>
        <w:left w:val="none" w:sz="0" w:space="0" w:color="auto"/>
        <w:bottom w:val="none" w:sz="0" w:space="0" w:color="auto"/>
        <w:right w:val="none" w:sz="0" w:space="0" w:color="auto"/>
      </w:divBdr>
    </w:div>
    <w:div w:id="198782358">
      <w:bodyDiv w:val="1"/>
      <w:marLeft w:val="0"/>
      <w:marRight w:val="0"/>
      <w:marTop w:val="0"/>
      <w:marBottom w:val="0"/>
      <w:divBdr>
        <w:top w:val="none" w:sz="0" w:space="0" w:color="auto"/>
        <w:left w:val="none" w:sz="0" w:space="0" w:color="auto"/>
        <w:bottom w:val="none" w:sz="0" w:space="0" w:color="auto"/>
        <w:right w:val="none" w:sz="0" w:space="0" w:color="auto"/>
      </w:divBdr>
    </w:div>
    <w:div w:id="256524719">
      <w:bodyDiv w:val="1"/>
      <w:marLeft w:val="0"/>
      <w:marRight w:val="0"/>
      <w:marTop w:val="0"/>
      <w:marBottom w:val="0"/>
      <w:divBdr>
        <w:top w:val="none" w:sz="0" w:space="0" w:color="auto"/>
        <w:left w:val="none" w:sz="0" w:space="0" w:color="auto"/>
        <w:bottom w:val="none" w:sz="0" w:space="0" w:color="auto"/>
        <w:right w:val="none" w:sz="0" w:space="0" w:color="auto"/>
      </w:divBdr>
    </w:div>
    <w:div w:id="290596086">
      <w:bodyDiv w:val="1"/>
      <w:marLeft w:val="0"/>
      <w:marRight w:val="0"/>
      <w:marTop w:val="0"/>
      <w:marBottom w:val="0"/>
      <w:divBdr>
        <w:top w:val="none" w:sz="0" w:space="0" w:color="auto"/>
        <w:left w:val="none" w:sz="0" w:space="0" w:color="auto"/>
        <w:bottom w:val="none" w:sz="0" w:space="0" w:color="auto"/>
        <w:right w:val="none" w:sz="0" w:space="0" w:color="auto"/>
      </w:divBdr>
    </w:div>
    <w:div w:id="317999732">
      <w:bodyDiv w:val="1"/>
      <w:marLeft w:val="0"/>
      <w:marRight w:val="0"/>
      <w:marTop w:val="0"/>
      <w:marBottom w:val="0"/>
      <w:divBdr>
        <w:top w:val="none" w:sz="0" w:space="0" w:color="auto"/>
        <w:left w:val="none" w:sz="0" w:space="0" w:color="auto"/>
        <w:bottom w:val="none" w:sz="0" w:space="0" w:color="auto"/>
        <w:right w:val="none" w:sz="0" w:space="0" w:color="auto"/>
      </w:divBdr>
    </w:div>
    <w:div w:id="325133657">
      <w:bodyDiv w:val="1"/>
      <w:marLeft w:val="0"/>
      <w:marRight w:val="0"/>
      <w:marTop w:val="0"/>
      <w:marBottom w:val="0"/>
      <w:divBdr>
        <w:top w:val="none" w:sz="0" w:space="0" w:color="auto"/>
        <w:left w:val="none" w:sz="0" w:space="0" w:color="auto"/>
        <w:bottom w:val="none" w:sz="0" w:space="0" w:color="auto"/>
        <w:right w:val="none" w:sz="0" w:space="0" w:color="auto"/>
      </w:divBdr>
    </w:div>
    <w:div w:id="441271175">
      <w:bodyDiv w:val="1"/>
      <w:marLeft w:val="0"/>
      <w:marRight w:val="0"/>
      <w:marTop w:val="0"/>
      <w:marBottom w:val="0"/>
      <w:divBdr>
        <w:top w:val="none" w:sz="0" w:space="0" w:color="auto"/>
        <w:left w:val="none" w:sz="0" w:space="0" w:color="auto"/>
        <w:bottom w:val="none" w:sz="0" w:space="0" w:color="auto"/>
        <w:right w:val="none" w:sz="0" w:space="0" w:color="auto"/>
      </w:divBdr>
    </w:div>
    <w:div w:id="460535264">
      <w:bodyDiv w:val="1"/>
      <w:marLeft w:val="0"/>
      <w:marRight w:val="0"/>
      <w:marTop w:val="0"/>
      <w:marBottom w:val="0"/>
      <w:divBdr>
        <w:top w:val="none" w:sz="0" w:space="0" w:color="auto"/>
        <w:left w:val="none" w:sz="0" w:space="0" w:color="auto"/>
        <w:bottom w:val="none" w:sz="0" w:space="0" w:color="auto"/>
        <w:right w:val="none" w:sz="0" w:space="0" w:color="auto"/>
      </w:divBdr>
    </w:div>
    <w:div w:id="481895033">
      <w:bodyDiv w:val="1"/>
      <w:marLeft w:val="0"/>
      <w:marRight w:val="0"/>
      <w:marTop w:val="0"/>
      <w:marBottom w:val="0"/>
      <w:divBdr>
        <w:top w:val="none" w:sz="0" w:space="0" w:color="auto"/>
        <w:left w:val="none" w:sz="0" w:space="0" w:color="auto"/>
        <w:bottom w:val="none" w:sz="0" w:space="0" w:color="auto"/>
        <w:right w:val="none" w:sz="0" w:space="0" w:color="auto"/>
      </w:divBdr>
    </w:div>
    <w:div w:id="538783021">
      <w:bodyDiv w:val="1"/>
      <w:marLeft w:val="0"/>
      <w:marRight w:val="0"/>
      <w:marTop w:val="0"/>
      <w:marBottom w:val="0"/>
      <w:divBdr>
        <w:top w:val="none" w:sz="0" w:space="0" w:color="auto"/>
        <w:left w:val="none" w:sz="0" w:space="0" w:color="auto"/>
        <w:bottom w:val="none" w:sz="0" w:space="0" w:color="auto"/>
        <w:right w:val="none" w:sz="0" w:space="0" w:color="auto"/>
      </w:divBdr>
    </w:div>
    <w:div w:id="597256135">
      <w:bodyDiv w:val="1"/>
      <w:marLeft w:val="0"/>
      <w:marRight w:val="0"/>
      <w:marTop w:val="0"/>
      <w:marBottom w:val="0"/>
      <w:divBdr>
        <w:top w:val="none" w:sz="0" w:space="0" w:color="auto"/>
        <w:left w:val="none" w:sz="0" w:space="0" w:color="auto"/>
        <w:bottom w:val="none" w:sz="0" w:space="0" w:color="auto"/>
        <w:right w:val="none" w:sz="0" w:space="0" w:color="auto"/>
      </w:divBdr>
    </w:div>
    <w:div w:id="606155863">
      <w:bodyDiv w:val="1"/>
      <w:marLeft w:val="0"/>
      <w:marRight w:val="0"/>
      <w:marTop w:val="0"/>
      <w:marBottom w:val="0"/>
      <w:divBdr>
        <w:top w:val="none" w:sz="0" w:space="0" w:color="auto"/>
        <w:left w:val="none" w:sz="0" w:space="0" w:color="auto"/>
        <w:bottom w:val="none" w:sz="0" w:space="0" w:color="auto"/>
        <w:right w:val="none" w:sz="0" w:space="0" w:color="auto"/>
      </w:divBdr>
    </w:div>
    <w:div w:id="615672310">
      <w:bodyDiv w:val="1"/>
      <w:marLeft w:val="0"/>
      <w:marRight w:val="0"/>
      <w:marTop w:val="0"/>
      <w:marBottom w:val="0"/>
      <w:divBdr>
        <w:top w:val="none" w:sz="0" w:space="0" w:color="auto"/>
        <w:left w:val="none" w:sz="0" w:space="0" w:color="auto"/>
        <w:bottom w:val="none" w:sz="0" w:space="0" w:color="auto"/>
        <w:right w:val="none" w:sz="0" w:space="0" w:color="auto"/>
      </w:divBdr>
    </w:div>
    <w:div w:id="627972440">
      <w:bodyDiv w:val="1"/>
      <w:marLeft w:val="0"/>
      <w:marRight w:val="0"/>
      <w:marTop w:val="0"/>
      <w:marBottom w:val="0"/>
      <w:divBdr>
        <w:top w:val="none" w:sz="0" w:space="0" w:color="auto"/>
        <w:left w:val="none" w:sz="0" w:space="0" w:color="auto"/>
        <w:bottom w:val="none" w:sz="0" w:space="0" w:color="auto"/>
        <w:right w:val="none" w:sz="0" w:space="0" w:color="auto"/>
      </w:divBdr>
    </w:div>
    <w:div w:id="647977226">
      <w:bodyDiv w:val="1"/>
      <w:marLeft w:val="0"/>
      <w:marRight w:val="0"/>
      <w:marTop w:val="0"/>
      <w:marBottom w:val="0"/>
      <w:divBdr>
        <w:top w:val="none" w:sz="0" w:space="0" w:color="auto"/>
        <w:left w:val="none" w:sz="0" w:space="0" w:color="auto"/>
        <w:bottom w:val="none" w:sz="0" w:space="0" w:color="auto"/>
        <w:right w:val="none" w:sz="0" w:space="0" w:color="auto"/>
      </w:divBdr>
    </w:div>
    <w:div w:id="663968686">
      <w:bodyDiv w:val="1"/>
      <w:marLeft w:val="0"/>
      <w:marRight w:val="0"/>
      <w:marTop w:val="0"/>
      <w:marBottom w:val="0"/>
      <w:divBdr>
        <w:top w:val="none" w:sz="0" w:space="0" w:color="auto"/>
        <w:left w:val="none" w:sz="0" w:space="0" w:color="auto"/>
        <w:bottom w:val="none" w:sz="0" w:space="0" w:color="auto"/>
        <w:right w:val="none" w:sz="0" w:space="0" w:color="auto"/>
      </w:divBdr>
    </w:div>
    <w:div w:id="687022492">
      <w:bodyDiv w:val="1"/>
      <w:marLeft w:val="0"/>
      <w:marRight w:val="0"/>
      <w:marTop w:val="0"/>
      <w:marBottom w:val="0"/>
      <w:divBdr>
        <w:top w:val="none" w:sz="0" w:space="0" w:color="auto"/>
        <w:left w:val="none" w:sz="0" w:space="0" w:color="auto"/>
        <w:bottom w:val="none" w:sz="0" w:space="0" w:color="auto"/>
        <w:right w:val="none" w:sz="0" w:space="0" w:color="auto"/>
      </w:divBdr>
    </w:div>
    <w:div w:id="727848466">
      <w:bodyDiv w:val="1"/>
      <w:marLeft w:val="0"/>
      <w:marRight w:val="0"/>
      <w:marTop w:val="0"/>
      <w:marBottom w:val="0"/>
      <w:divBdr>
        <w:top w:val="none" w:sz="0" w:space="0" w:color="auto"/>
        <w:left w:val="none" w:sz="0" w:space="0" w:color="auto"/>
        <w:bottom w:val="none" w:sz="0" w:space="0" w:color="auto"/>
        <w:right w:val="none" w:sz="0" w:space="0" w:color="auto"/>
      </w:divBdr>
    </w:div>
    <w:div w:id="746149558">
      <w:bodyDiv w:val="1"/>
      <w:marLeft w:val="0"/>
      <w:marRight w:val="0"/>
      <w:marTop w:val="0"/>
      <w:marBottom w:val="0"/>
      <w:divBdr>
        <w:top w:val="none" w:sz="0" w:space="0" w:color="auto"/>
        <w:left w:val="none" w:sz="0" w:space="0" w:color="auto"/>
        <w:bottom w:val="none" w:sz="0" w:space="0" w:color="auto"/>
        <w:right w:val="none" w:sz="0" w:space="0" w:color="auto"/>
      </w:divBdr>
    </w:div>
    <w:div w:id="757406438">
      <w:bodyDiv w:val="1"/>
      <w:marLeft w:val="0"/>
      <w:marRight w:val="0"/>
      <w:marTop w:val="0"/>
      <w:marBottom w:val="0"/>
      <w:divBdr>
        <w:top w:val="none" w:sz="0" w:space="0" w:color="auto"/>
        <w:left w:val="none" w:sz="0" w:space="0" w:color="auto"/>
        <w:bottom w:val="none" w:sz="0" w:space="0" w:color="auto"/>
        <w:right w:val="none" w:sz="0" w:space="0" w:color="auto"/>
      </w:divBdr>
    </w:div>
    <w:div w:id="901255476">
      <w:bodyDiv w:val="1"/>
      <w:marLeft w:val="0"/>
      <w:marRight w:val="0"/>
      <w:marTop w:val="0"/>
      <w:marBottom w:val="0"/>
      <w:divBdr>
        <w:top w:val="none" w:sz="0" w:space="0" w:color="auto"/>
        <w:left w:val="none" w:sz="0" w:space="0" w:color="auto"/>
        <w:bottom w:val="none" w:sz="0" w:space="0" w:color="auto"/>
        <w:right w:val="none" w:sz="0" w:space="0" w:color="auto"/>
      </w:divBdr>
    </w:div>
    <w:div w:id="904756312">
      <w:bodyDiv w:val="1"/>
      <w:marLeft w:val="0"/>
      <w:marRight w:val="0"/>
      <w:marTop w:val="0"/>
      <w:marBottom w:val="0"/>
      <w:divBdr>
        <w:top w:val="none" w:sz="0" w:space="0" w:color="auto"/>
        <w:left w:val="none" w:sz="0" w:space="0" w:color="auto"/>
        <w:bottom w:val="none" w:sz="0" w:space="0" w:color="auto"/>
        <w:right w:val="none" w:sz="0" w:space="0" w:color="auto"/>
      </w:divBdr>
    </w:div>
    <w:div w:id="917834831">
      <w:bodyDiv w:val="1"/>
      <w:marLeft w:val="0"/>
      <w:marRight w:val="0"/>
      <w:marTop w:val="0"/>
      <w:marBottom w:val="0"/>
      <w:divBdr>
        <w:top w:val="none" w:sz="0" w:space="0" w:color="auto"/>
        <w:left w:val="none" w:sz="0" w:space="0" w:color="auto"/>
        <w:bottom w:val="none" w:sz="0" w:space="0" w:color="auto"/>
        <w:right w:val="none" w:sz="0" w:space="0" w:color="auto"/>
      </w:divBdr>
    </w:div>
    <w:div w:id="976109310">
      <w:bodyDiv w:val="1"/>
      <w:marLeft w:val="0"/>
      <w:marRight w:val="0"/>
      <w:marTop w:val="0"/>
      <w:marBottom w:val="0"/>
      <w:divBdr>
        <w:top w:val="none" w:sz="0" w:space="0" w:color="auto"/>
        <w:left w:val="none" w:sz="0" w:space="0" w:color="auto"/>
        <w:bottom w:val="none" w:sz="0" w:space="0" w:color="auto"/>
        <w:right w:val="none" w:sz="0" w:space="0" w:color="auto"/>
      </w:divBdr>
    </w:div>
    <w:div w:id="1030567321">
      <w:bodyDiv w:val="1"/>
      <w:marLeft w:val="0"/>
      <w:marRight w:val="0"/>
      <w:marTop w:val="0"/>
      <w:marBottom w:val="0"/>
      <w:divBdr>
        <w:top w:val="none" w:sz="0" w:space="0" w:color="auto"/>
        <w:left w:val="none" w:sz="0" w:space="0" w:color="auto"/>
        <w:bottom w:val="none" w:sz="0" w:space="0" w:color="auto"/>
        <w:right w:val="none" w:sz="0" w:space="0" w:color="auto"/>
      </w:divBdr>
    </w:div>
    <w:div w:id="1056708642">
      <w:bodyDiv w:val="1"/>
      <w:marLeft w:val="0"/>
      <w:marRight w:val="0"/>
      <w:marTop w:val="0"/>
      <w:marBottom w:val="0"/>
      <w:divBdr>
        <w:top w:val="none" w:sz="0" w:space="0" w:color="auto"/>
        <w:left w:val="none" w:sz="0" w:space="0" w:color="auto"/>
        <w:bottom w:val="none" w:sz="0" w:space="0" w:color="auto"/>
        <w:right w:val="none" w:sz="0" w:space="0" w:color="auto"/>
      </w:divBdr>
    </w:div>
    <w:div w:id="1093360614">
      <w:bodyDiv w:val="1"/>
      <w:marLeft w:val="0"/>
      <w:marRight w:val="0"/>
      <w:marTop w:val="0"/>
      <w:marBottom w:val="0"/>
      <w:divBdr>
        <w:top w:val="none" w:sz="0" w:space="0" w:color="auto"/>
        <w:left w:val="none" w:sz="0" w:space="0" w:color="auto"/>
        <w:bottom w:val="none" w:sz="0" w:space="0" w:color="auto"/>
        <w:right w:val="none" w:sz="0" w:space="0" w:color="auto"/>
      </w:divBdr>
    </w:div>
    <w:div w:id="1123813622">
      <w:bodyDiv w:val="1"/>
      <w:marLeft w:val="0"/>
      <w:marRight w:val="0"/>
      <w:marTop w:val="0"/>
      <w:marBottom w:val="0"/>
      <w:divBdr>
        <w:top w:val="none" w:sz="0" w:space="0" w:color="auto"/>
        <w:left w:val="none" w:sz="0" w:space="0" w:color="auto"/>
        <w:bottom w:val="none" w:sz="0" w:space="0" w:color="auto"/>
        <w:right w:val="none" w:sz="0" w:space="0" w:color="auto"/>
      </w:divBdr>
    </w:div>
    <w:div w:id="1156341678">
      <w:bodyDiv w:val="1"/>
      <w:marLeft w:val="0"/>
      <w:marRight w:val="0"/>
      <w:marTop w:val="0"/>
      <w:marBottom w:val="0"/>
      <w:divBdr>
        <w:top w:val="none" w:sz="0" w:space="0" w:color="auto"/>
        <w:left w:val="none" w:sz="0" w:space="0" w:color="auto"/>
        <w:bottom w:val="none" w:sz="0" w:space="0" w:color="auto"/>
        <w:right w:val="none" w:sz="0" w:space="0" w:color="auto"/>
      </w:divBdr>
    </w:div>
    <w:div w:id="1189297700">
      <w:bodyDiv w:val="1"/>
      <w:marLeft w:val="0"/>
      <w:marRight w:val="0"/>
      <w:marTop w:val="0"/>
      <w:marBottom w:val="0"/>
      <w:divBdr>
        <w:top w:val="none" w:sz="0" w:space="0" w:color="auto"/>
        <w:left w:val="none" w:sz="0" w:space="0" w:color="auto"/>
        <w:bottom w:val="none" w:sz="0" w:space="0" w:color="auto"/>
        <w:right w:val="none" w:sz="0" w:space="0" w:color="auto"/>
      </w:divBdr>
    </w:div>
    <w:div w:id="1303729046">
      <w:bodyDiv w:val="1"/>
      <w:marLeft w:val="0"/>
      <w:marRight w:val="0"/>
      <w:marTop w:val="0"/>
      <w:marBottom w:val="0"/>
      <w:divBdr>
        <w:top w:val="none" w:sz="0" w:space="0" w:color="auto"/>
        <w:left w:val="none" w:sz="0" w:space="0" w:color="auto"/>
        <w:bottom w:val="none" w:sz="0" w:space="0" w:color="auto"/>
        <w:right w:val="none" w:sz="0" w:space="0" w:color="auto"/>
      </w:divBdr>
    </w:div>
    <w:div w:id="1344820401">
      <w:bodyDiv w:val="1"/>
      <w:marLeft w:val="0"/>
      <w:marRight w:val="0"/>
      <w:marTop w:val="0"/>
      <w:marBottom w:val="0"/>
      <w:divBdr>
        <w:top w:val="none" w:sz="0" w:space="0" w:color="auto"/>
        <w:left w:val="none" w:sz="0" w:space="0" w:color="auto"/>
        <w:bottom w:val="none" w:sz="0" w:space="0" w:color="auto"/>
        <w:right w:val="none" w:sz="0" w:space="0" w:color="auto"/>
      </w:divBdr>
    </w:div>
    <w:div w:id="1407533948">
      <w:bodyDiv w:val="1"/>
      <w:marLeft w:val="0"/>
      <w:marRight w:val="0"/>
      <w:marTop w:val="0"/>
      <w:marBottom w:val="0"/>
      <w:divBdr>
        <w:top w:val="none" w:sz="0" w:space="0" w:color="auto"/>
        <w:left w:val="none" w:sz="0" w:space="0" w:color="auto"/>
        <w:bottom w:val="none" w:sz="0" w:space="0" w:color="auto"/>
        <w:right w:val="none" w:sz="0" w:space="0" w:color="auto"/>
      </w:divBdr>
    </w:div>
    <w:div w:id="1412311161">
      <w:bodyDiv w:val="1"/>
      <w:marLeft w:val="0"/>
      <w:marRight w:val="0"/>
      <w:marTop w:val="0"/>
      <w:marBottom w:val="0"/>
      <w:divBdr>
        <w:top w:val="none" w:sz="0" w:space="0" w:color="auto"/>
        <w:left w:val="none" w:sz="0" w:space="0" w:color="auto"/>
        <w:bottom w:val="none" w:sz="0" w:space="0" w:color="auto"/>
        <w:right w:val="none" w:sz="0" w:space="0" w:color="auto"/>
      </w:divBdr>
    </w:div>
    <w:div w:id="1432627131">
      <w:bodyDiv w:val="1"/>
      <w:marLeft w:val="0"/>
      <w:marRight w:val="0"/>
      <w:marTop w:val="0"/>
      <w:marBottom w:val="0"/>
      <w:divBdr>
        <w:top w:val="none" w:sz="0" w:space="0" w:color="auto"/>
        <w:left w:val="none" w:sz="0" w:space="0" w:color="auto"/>
        <w:bottom w:val="none" w:sz="0" w:space="0" w:color="auto"/>
        <w:right w:val="none" w:sz="0" w:space="0" w:color="auto"/>
      </w:divBdr>
    </w:div>
    <w:div w:id="1444761395">
      <w:bodyDiv w:val="1"/>
      <w:marLeft w:val="0"/>
      <w:marRight w:val="0"/>
      <w:marTop w:val="0"/>
      <w:marBottom w:val="0"/>
      <w:divBdr>
        <w:top w:val="none" w:sz="0" w:space="0" w:color="auto"/>
        <w:left w:val="none" w:sz="0" w:space="0" w:color="auto"/>
        <w:bottom w:val="none" w:sz="0" w:space="0" w:color="auto"/>
        <w:right w:val="none" w:sz="0" w:space="0" w:color="auto"/>
      </w:divBdr>
    </w:div>
    <w:div w:id="1461729434">
      <w:bodyDiv w:val="1"/>
      <w:marLeft w:val="0"/>
      <w:marRight w:val="0"/>
      <w:marTop w:val="0"/>
      <w:marBottom w:val="0"/>
      <w:divBdr>
        <w:top w:val="none" w:sz="0" w:space="0" w:color="auto"/>
        <w:left w:val="none" w:sz="0" w:space="0" w:color="auto"/>
        <w:bottom w:val="none" w:sz="0" w:space="0" w:color="auto"/>
        <w:right w:val="none" w:sz="0" w:space="0" w:color="auto"/>
      </w:divBdr>
    </w:div>
    <w:div w:id="1477332698">
      <w:bodyDiv w:val="1"/>
      <w:marLeft w:val="0"/>
      <w:marRight w:val="0"/>
      <w:marTop w:val="0"/>
      <w:marBottom w:val="0"/>
      <w:divBdr>
        <w:top w:val="none" w:sz="0" w:space="0" w:color="auto"/>
        <w:left w:val="none" w:sz="0" w:space="0" w:color="auto"/>
        <w:bottom w:val="none" w:sz="0" w:space="0" w:color="auto"/>
        <w:right w:val="none" w:sz="0" w:space="0" w:color="auto"/>
      </w:divBdr>
    </w:div>
    <w:div w:id="1570505700">
      <w:bodyDiv w:val="1"/>
      <w:marLeft w:val="0"/>
      <w:marRight w:val="0"/>
      <w:marTop w:val="0"/>
      <w:marBottom w:val="0"/>
      <w:divBdr>
        <w:top w:val="none" w:sz="0" w:space="0" w:color="auto"/>
        <w:left w:val="none" w:sz="0" w:space="0" w:color="auto"/>
        <w:bottom w:val="none" w:sz="0" w:space="0" w:color="auto"/>
        <w:right w:val="none" w:sz="0" w:space="0" w:color="auto"/>
      </w:divBdr>
    </w:div>
    <w:div w:id="1584220001">
      <w:bodyDiv w:val="1"/>
      <w:marLeft w:val="0"/>
      <w:marRight w:val="0"/>
      <w:marTop w:val="0"/>
      <w:marBottom w:val="0"/>
      <w:divBdr>
        <w:top w:val="none" w:sz="0" w:space="0" w:color="auto"/>
        <w:left w:val="none" w:sz="0" w:space="0" w:color="auto"/>
        <w:bottom w:val="none" w:sz="0" w:space="0" w:color="auto"/>
        <w:right w:val="none" w:sz="0" w:space="0" w:color="auto"/>
      </w:divBdr>
    </w:div>
    <w:div w:id="1606960241">
      <w:bodyDiv w:val="1"/>
      <w:marLeft w:val="0"/>
      <w:marRight w:val="0"/>
      <w:marTop w:val="0"/>
      <w:marBottom w:val="0"/>
      <w:divBdr>
        <w:top w:val="none" w:sz="0" w:space="0" w:color="auto"/>
        <w:left w:val="none" w:sz="0" w:space="0" w:color="auto"/>
        <w:bottom w:val="none" w:sz="0" w:space="0" w:color="auto"/>
        <w:right w:val="none" w:sz="0" w:space="0" w:color="auto"/>
      </w:divBdr>
    </w:div>
    <w:div w:id="1628513290">
      <w:bodyDiv w:val="1"/>
      <w:marLeft w:val="0"/>
      <w:marRight w:val="0"/>
      <w:marTop w:val="0"/>
      <w:marBottom w:val="0"/>
      <w:divBdr>
        <w:top w:val="none" w:sz="0" w:space="0" w:color="auto"/>
        <w:left w:val="none" w:sz="0" w:space="0" w:color="auto"/>
        <w:bottom w:val="none" w:sz="0" w:space="0" w:color="auto"/>
        <w:right w:val="none" w:sz="0" w:space="0" w:color="auto"/>
      </w:divBdr>
    </w:div>
    <w:div w:id="1633242677">
      <w:bodyDiv w:val="1"/>
      <w:marLeft w:val="0"/>
      <w:marRight w:val="0"/>
      <w:marTop w:val="0"/>
      <w:marBottom w:val="0"/>
      <w:divBdr>
        <w:top w:val="none" w:sz="0" w:space="0" w:color="auto"/>
        <w:left w:val="none" w:sz="0" w:space="0" w:color="auto"/>
        <w:bottom w:val="none" w:sz="0" w:space="0" w:color="auto"/>
        <w:right w:val="none" w:sz="0" w:space="0" w:color="auto"/>
      </w:divBdr>
    </w:div>
    <w:div w:id="1634872696">
      <w:bodyDiv w:val="1"/>
      <w:marLeft w:val="0"/>
      <w:marRight w:val="0"/>
      <w:marTop w:val="0"/>
      <w:marBottom w:val="0"/>
      <w:divBdr>
        <w:top w:val="none" w:sz="0" w:space="0" w:color="auto"/>
        <w:left w:val="none" w:sz="0" w:space="0" w:color="auto"/>
        <w:bottom w:val="none" w:sz="0" w:space="0" w:color="auto"/>
        <w:right w:val="none" w:sz="0" w:space="0" w:color="auto"/>
      </w:divBdr>
    </w:div>
    <w:div w:id="1647853328">
      <w:bodyDiv w:val="1"/>
      <w:marLeft w:val="0"/>
      <w:marRight w:val="0"/>
      <w:marTop w:val="0"/>
      <w:marBottom w:val="0"/>
      <w:divBdr>
        <w:top w:val="none" w:sz="0" w:space="0" w:color="auto"/>
        <w:left w:val="none" w:sz="0" w:space="0" w:color="auto"/>
        <w:bottom w:val="none" w:sz="0" w:space="0" w:color="auto"/>
        <w:right w:val="none" w:sz="0" w:space="0" w:color="auto"/>
      </w:divBdr>
    </w:div>
    <w:div w:id="1868643390">
      <w:bodyDiv w:val="1"/>
      <w:marLeft w:val="0"/>
      <w:marRight w:val="0"/>
      <w:marTop w:val="0"/>
      <w:marBottom w:val="0"/>
      <w:divBdr>
        <w:top w:val="none" w:sz="0" w:space="0" w:color="auto"/>
        <w:left w:val="none" w:sz="0" w:space="0" w:color="auto"/>
        <w:bottom w:val="none" w:sz="0" w:space="0" w:color="auto"/>
        <w:right w:val="none" w:sz="0" w:space="0" w:color="auto"/>
      </w:divBdr>
    </w:div>
    <w:div w:id="1897427232">
      <w:bodyDiv w:val="1"/>
      <w:marLeft w:val="0"/>
      <w:marRight w:val="0"/>
      <w:marTop w:val="0"/>
      <w:marBottom w:val="0"/>
      <w:divBdr>
        <w:top w:val="none" w:sz="0" w:space="0" w:color="auto"/>
        <w:left w:val="none" w:sz="0" w:space="0" w:color="auto"/>
        <w:bottom w:val="none" w:sz="0" w:space="0" w:color="auto"/>
        <w:right w:val="none" w:sz="0" w:space="0" w:color="auto"/>
      </w:divBdr>
    </w:div>
    <w:div w:id="1909268079">
      <w:bodyDiv w:val="1"/>
      <w:marLeft w:val="0"/>
      <w:marRight w:val="0"/>
      <w:marTop w:val="0"/>
      <w:marBottom w:val="0"/>
      <w:divBdr>
        <w:top w:val="none" w:sz="0" w:space="0" w:color="auto"/>
        <w:left w:val="none" w:sz="0" w:space="0" w:color="auto"/>
        <w:bottom w:val="none" w:sz="0" w:space="0" w:color="auto"/>
        <w:right w:val="none" w:sz="0" w:space="0" w:color="auto"/>
      </w:divBdr>
    </w:div>
    <w:div w:id="1949577937">
      <w:bodyDiv w:val="1"/>
      <w:marLeft w:val="0"/>
      <w:marRight w:val="0"/>
      <w:marTop w:val="0"/>
      <w:marBottom w:val="0"/>
      <w:divBdr>
        <w:top w:val="none" w:sz="0" w:space="0" w:color="auto"/>
        <w:left w:val="none" w:sz="0" w:space="0" w:color="auto"/>
        <w:bottom w:val="none" w:sz="0" w:space="0" w:color="auto"/>
        <w:right w:val="none" w:sz="0" w:space="0" w:color="auto"/>
      </w:divBdr>
    </w:div>
    <w:div w:id="2011447073">
      <w:bodyDiv w:val="1"/>
      <w:marLeft w:val="0"/>
      <w:marRight w:val="0"/>
      <w:marTop w:val="0"/>
      <w:marBottom w:val="0"/>
      <w:divBdr>
        <w:top w:val="none" w:sz="0" w:space="0" w:color="auto"/>
        <w:left w:val="none" w:sz="0" w:space="0" w:color="auto"/>
        <w:bottom w:val="none" w:sz="0" w:space="0" w:color="auto"/>
        <w:right w:val="none" w:sz="0" w:space="0" w:color="auto"/>
      </w:divBdr>
    </w:div>
    <w:div w:id="2059235805">
      <w:bodyDiv w:val="1"/>
      <w:marLeft w:val="0"/>
      <w:marRight w:val="0"/>
      <w:marTop w:val="0"/>
      <w:marBottom w:val="0"/>
      <w:divBdr>
        <w:top w:val="none" w:sz="0" w:space="0" w:color="auto"/>
        <w:left w:val="none" w:sz="0" w:space="0" w:color="auto"/>
        <w:bottom w:val="none" w:sz="0" w:space="0" w:color="auto"/>
        <w:right w:val="none" w:sz="0" w:space="0" w:color="auto"/>
      </w:divBdr>
    </w:div>
    <w:div w:id="2070497906">
      <w:bodyDiv w:val="1"/>
      <w:marLeft w:val="0"/>
      <w:marRight w:val="0"/>
      <w:marTop w:val="0"/>
      <w:marBottom w:val="0"/>
      <w:divBdr>
        <w:top w:val="none" w:sz="0" w:space="0" w:color="auto"/>
        <w:left w:val="none" w:sz="0" w:space="0" w:color="auto"/>
        <w:bottom w:val="none" w:sz="0" w:space="0" w:color="auto"/>
        <w:right w:val="none" w:sz="0" w:space="0" w:color="auto"/>
      </w:divBdr>
    </w:div>
    <w:div w:id="2073191776">
      <w:bodyDiv w:val="1"/>
      <w:marLeft w:val="0"/>
      <w:marRight w:val="0"/>
      <w:marTop w:val="0"/>
      <w:marBottom w:val="0"/>
      <w:divBdr>
        <w:top w:val="none" w:sz="0" w:space="0" w:color="auto"/>
        <w:left w:val="none" w:sz="0" w:space="0" w:color="auto"/>
        <w:bottom w:val="none" w:sz="0" w:space="0" w:color="auto"/>
        <w:right w:val="none" w:sz="0" w:space="0" w:color="auto"/>
      </w:divBdr>
    </w:div>
    <w:div w:id="2081754042">
      <w:bodyDiv w:val="1"/>
      <w:marLeft w:val="0"/>
      <w:marRight w:val="0"/>
      <w:marTop w:val="0"/>
      <w:marBottom w:val="0"/>
      <w:divBdr>
        <w:top w:val="none" w:sz="0" w:space="0" w:color="auto"/>
        <w:left w:val="none" w:sz="0" w:space="0" w:color="auto"/>
        <w:bottom w:val="none" w:sz="0" w:space="0" w:color="auto"/>
        <w:right w:val="none" w:sz="0" w:space="0" w:color="auto"/>
      </w:divBdr>
    </w:div>
    <w:div w:id="2084372707">
      <w:bodyDiv w:val="1"/>
      <w:marLeft w:val="0"/>
      <w:marRight w:val="0"/>
      <w:marTop w:val="0"/>
      <w:marBottom w:val="0"/>
      <w:divBdr>
        <w:top w:val="none" w:sz="0" w:space="0" w:color="auto"/>
        <w:left w:val="none" w:sz="0" w:space="0" w:color="auto"/>
        <w:bottom w:val="none" w:sz="0" w:space="0" w:color="auto"/>
        <w:right w:val="none" w:sz="0" w:space="0" w:color="auto"/>
      </w:divBdr>
    </w:div>
    <w:div w:id="2117404540">
      <w:bodyDiv w:val="1"/>
      <w:marLeft w:val="0"/>
      <w:marRight w:val="0"/>
      <w:marTop w:val="0"/>
      <w:marBottom w:val="0"/>
      <w:divBdr>
        <w:top w:val="none" w:sz="0" w:space="0" w:color="auto"/>
        <w:left w:val="none" w:sz="0" w:space="0" w:color="auto"/>
        <w:bottom w:val="none" w:sz="0" w:space="0" w:color="auto"/>
        <w:right w:val="none" w:sz="0" w:space="0" w:color="auto"/>
      </w:divBdr>
    </w:div>
    <w:div w:id="21286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calgarylabservices.com/" TargetMode="External"/><Relationship Id="rId1" Type="http://schemas.openxmlformats.org/officeDocument/2006/relationships/hyperlink" Target="http://www.health.alberta.ca/health-info/imm-routine-schedu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FA073-F280-4461-9266-504FA02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19</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Calgary Health Region</Company>
  <LinksUpToDate>false</LinksUpToDate>
  <CharactersWithSpaces>29250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sharonfeng</dc:creator>
  <cp:lastModifiedBy>Feng</cp:lastModifiedBy>
  <cp:revision>4</cp:revision>
  <cp:lastPrinted>2012-09-07T04:25:00Z</cp:lastPrinted>
  <dcterms:created xsi:type="dcterms:W3CDTF">2012-11-14T05:24:00Z</dcterms:created>
  <dcterms:modified xsi:type="dcterms:W3CDTF">2012-11-22T05:59:00Z</dcterms:modified>
</cp:coreProperties>
</file>