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A0BAD" w14:textId="77777777" w:rsidR="008E1FF6" w:rsidRDefault="00A47198" w:rsidP="008E1FF6">
      <w:pPr>
        <w:pStyle w:val="NoSpacing"/>
        <w:spacing w:line="480" w:lineRule="auto"/>
        <w:jc w:val="center"/>
        <w:rPr>
          <w:rFonts w:asciiTheme="minorHAnsi" w:hAnsiTheme="minorHAnsi"/>
          <w:b/>
        </w:rPr>
      </w:pPr>
      <w:r>
        <w:rPr>
          <w:rFonts w:asciiTheme="minorHAnsi" w:hAnsiTheme="minorHAnsi"/>
          <w:b/>
        </w:rPr>
        <w:t xml:space="preserve">Where Are We Now? </w:t>
      </w:r>
    </w:p>
    <w:p w14:paraId="793DE391" w14:textId="07462585" w:rsidR="00A56FB9" w:rsidRDefault="00A47198" w:rsidP="008E1FF6">
      <w:pPr>
        <w:pStyle w:val="NoSpacing"/>
        <w:spacing w:line="480" w:lineRule="auto"/>
        <w:jc w:val="center"/>
        <w:rPr>
          <w:rFonts w:asciiTheme="minorHAnsi" w:hAnsiTheme="minorHAnsi"/>
          <w:b/>
        </w:rPr>
      </w:pPr>
      <w:r>
        <w:rPr>
          <w:rFonts w:asciiTheme="minorHAnsi" w:hAnsiTheme="minorHAnsi"/>
          <w:b/>
        </w:rPr>
        <w:t>Changing Admission Rates for Underrepresented Groups in Ontario Teacher Education</w:t>
      </w:r>
    </w:p>
    <w:p w14:paraId="56502823" w14:textId="77777777" w:rsidR="00A47198" w:rsidRDefault="00A47198" w:rsidP="00A47198">
      <w:pPr>
        <w:pStyle w:val="NoSpacing"/>
        <w:jc w:val="center"/>
        <w:rPr>
          <w:rFonts w:asciiTheme="minorHAnsi" w:hAnsiTheme="minorHAnsi"/>
          <w:b/>
        </w:rPr>
      </w:pPr>
    </w:p>
    <w:p w14:paraId="5C20A74C" w14:textId="0F81F2A4" w:rsidR="00A47198" w:rsidRPr="001D74EF" w:rsidRDefault="00A47198" w:rsidP="00A47198">
      <w:pPr>
        <w:pStyle w:val="NoSpacing"/>
        <w:rPr>
          <w:rFonts w:asciiTheme="minorHAnsi" w:hAnsiTheme="minorHAnsi"/>
        </w:rPr>
      </w:pPr>
      <w:r>
        <w:rPr>
          <w:rFonts w:asciiTheme="minorHAnsi" w:hAnsiTheme="minorHAnsi"/>
          <w:b/>
        </w:rPr>
        <w:t xml:space="preserve">Word Count: </w:t>
      </w:r>
      <w:r w:rsidR="00C753EE">
        <w:rPr>
          <w:rFonts w:asciiTheme="minorHAnsi" w:hAnsiTheme="minorHAnsi"/>
        </w:rPr>
        <w:t>738</w:t>
      </w:r>
      <w:r w:rsidR="008E1FF6">
        <w:rPr>
          <w:rFonts w:asciiTheme="minorHAnsi" w:hAnsiTheme="minorHAnsi"/>
        </w:rPr>
        <w:t>4</w:t>
      </w:r>
      <w:r w:rsidR="001D74EF">
        <w:rPr>
          <w:rFonts w:asciiTheme="minorHAnsi" w:hAnsiTheme="minorHAnsi"/>
        </w:rPr>
        <w:t xml:space="preserve"> (excluding references)</w:t>
      </w:r>
    </w:p>
    <w:p w14:paraId="6BBEED9E" w14:textId="77777777" w:rsidR="00A47198" w:rsidRDefault="00A47198" w:rsidP="00A47198">
      <w:pPr>
        <w:pStyle w:val="NoSpacing"/>
        <w:rPr>
          <w:rFonts w:asciiTheme="minorHAnsi" w:hAnsiTheme="minorHAnsi"/>
          <w:b/>
        </w:rPr>
      </w:pPr>
      <w:bookmarkStart w:id="0" w:name="_GoBack"/>
      <w:bookmarkEnd w:id="0"/>
    </w:p>
    <w:p w14:paraId="16AEAC87" w14:textId="77777777" w:rsidR="00A47198" w:rsidRDefault="00ED2E3B" w:rsidP="008566F6">
      <w:pPr>
        <w:pStyle w:val="NoSpacing"/>
        <w:jc w:val="center"/>
        <w:rPr>
          <w:rFonts w:asciiTheme="minorHAnsi" w:hAnsiTheme="minorHAnsi"/>
          <w:b/>
        </w:rPr>
      </w:pPr>
      <w:r>
        <w:rPr>
          <w:rFonts w:asciiTheme="minorHAnsi" w:hAnsiTheme="minorHAnsi"/>
          <w:b/>
        </w:rPr>
        <w:t>Abstract</w:t>
      </w:r>
    </w:p>
    <w:p w14:paraId="461D80B3" w14:textId="77777777" w:rsidR="008566F6" w:rsidRDefault="008566F6" w:rsidP="008566F6">
      <w:pPr>
        <w:pStyle w:val="NoSpacing"/>
        <w:jc w:val="center"/>
        <w:rPr>
          <w:rFonts w:asciiTheme="minorHAnsi" w:hAnsiTheme="minorHAnsi"/>
          <w:b/>
        </w:rPr>
      </w:pPr>
    </w:p>
    <w:p w14:paraId="74DF1BB4" w14:textId="3691DD73" w:rsidR="008566F6" w:rsidRPr="00570CEB" w:rsidRDefault="00570CEB" w:rsidP="00570CEB">
      <w:pPr>
        <w:pStyle w:val="NoSpacing"/>
        <w:rPr>
          <w:rFonts w:asciiTheme="minorHAnsi" w:hAnsiTheme="minorHAnsi"/>
        </w:rPr>
      </w:pPr>
      <w:r>
        <w:rPr>
          <w:rFonts w:asciiTheme="minorHAnsi" w:hAnsiTheme="minorHAnsi"/>
        </w:rPr>
        <w:t xml:space="preserve">Equitable representation is an ongoing challenge for </w:t>
      </w:r>
      <w:r w:rsidR="007B1654">
        <w:rPr>
          <w:rFonts w:asciiTheme="minorHAnsi" w:hAnsiTheme="minorHAnsi"/>
        </w:rPr>
        <w:t>Canadian</w:t>
      </w:r>
      <w:r>
        <w:rPr>
          <w:rFonts w:asciiTheme="minorHAnsi" w:hAnsiTheme="minorHAnsi"/>
        </w:rPr>
        <w:t xml:space="preserve"> teacher education. </w:t>
      </w:r>
      <w:r w:rsidR="004D058A">
        <w:rPr>
          <w:rFonts w:asciiTheme="minorHAnsi" w:hAnsiTheme="minorHAnsi"/>
        </w:rPr>
        <w:t xml:space="preserve">While university educators recognize that a diverse teaching force supports both student outcomes and teacher retention, various groups – including first-generation students, students with disabilities, students of Aboriginal descent, and other racialized minorities – are underrepresented in Ontario’s colleges and universities. </w:t>
      </w:r>
      <w:r w:rsidR="00A43145">
        <w:rPr>
          <w:rFonts w:asciiTheme="minorHAnsi" w:hAnsiTheme="minorHAnsi"/>
        </w:rPr>
        <w:t>Further, while m</w:t>
      </w:r>
      <w:r w:rsidR="004D058A">
        <w:rPr>
          <w:rFonts w:asciiTheme="minorHAnsi" w:hAnsiTheme="minorHAnsi"/>
        </w:rPr>
        <w:t>any Canadian teacher education programs identify equity and diversity as key values, these values do not always result in rates of representation that reflect the student population. This study therefore examines the changes in application</w:t>
      </w:r>
      <w:r w:rsidR="00927A97">
        <w:rPr>
          <w:rFonts w:asciiTheme="minorHAnsi" w:hAnsiTheme="minorHAnsi"/>
        </w:rPr>
        <w:t xml:space="preserve"> </w:t>
      </w:r>
      <w:r w:rsidR="004D058A">
        <w:rPr>
          <w:rFonts w:asciiTheme="minorHAnsi" w:hAnsiTheme="minorHAnsi"/>
        </w:rPr>
        <w:t xml:space="preserve">and acceptance rates of self-identifying underrepresented groups in Ontario’s new four-semester teacher education programs. </w:t>
      </w:r>
      <w:r w:rsidR="0055080C">
        <w:rPr>
          <w:rFonts w:asciiTheme="minorHAnsi" w:hAnsiTheme="minorHAnsi"/>
        </w:rPr>
        <w:t xml:space="preserve">Such data will enable teacher educators to better understand rates of representation, and will </w:t>
      </w:r>
      <w:r w:rsidR="00ED2E3B">
        <w:rPr>
          <w:rFonts w:asciiTheme="minorHAnsi" w:hAnsiTheme="minorHAnsi"/>
        </w:rPr>
        <w:t>be of interest to stakeholders from across Canada as they work to address the complex task of increasing equity and access for underrepresented groups in their programs.</w:t>
      </w:r>
    </w:p>
    <w:p w14:paraId="2E36CFF0" w14:textId="77777777" w:rsidR="008566F6" w:rsidRDefault="008566F6">
      <w:pPr>
        <w:rPr>
          <w:rFonts w:asciiTheme="minorHAnsi" w:hAnsiTheme="minorHAnsi"/>
          <w:b/>
        </w:rPr>
      </w:pPr>
      <w:r>
        <w:rPr>
          <w:rFonts w:asciiTheme="minorHAnsi" w:hAnsiTheme="minorHAnsi"/>
          <w:b/>
        </w:rPr>
        <w:br w:type="page"/>
      </w:r>
    </w:p>
    <w:p w14:paraId="694FAD5F" w14:textId="2F551051" w:rsidR="005042B1" w:rsidRDefault="00A47198" w:rsidP="00C753EE">
      <w:pPr>
        <w:pStyle w:val="NoSpacing"/>
        <w:spacing w:line="480" w:lineRule="auto"/>
        <w:jc w:val="center"/>
        <w:rPr>
          <w:rFonts w:asciiTheme="minorHAnsi" w:hAnsiTheme="minorHAnsi"/>
        </w:rPr>
      </w:pPr>
      <w:r w:rsidRPr="00A47198">
        <w:rPr>
          <w:rFonts w:asciiTheme="minorHAnsi" w:hAnsiTheme="minorHAnsi"/>
          <w:b/>
        </w:rPr>
        <w:lastRenderedPageBreak/>
        <w:t>Introduc</w:t>
      </w:r>
      <w:r w:rsidR="005042B1">
        <w:rPr>
          <w:rFonts w:asciiTheme="minorHAnsi" w:hAnsiTheme="minorHAnsi"/>
          <w:b/>
        </w:rPr>
        <w:t>tion</w:t>
      </w:r>
    </w:p>
    <w:p w14:paraId="782DF427" w14:textId="258A7743" w:rsidR="003963FB" w:rsidRDefault="00442811" w:rsidP="00C753EE">
      <w:pPr>
        <w:pStyle w:val="NoSpacing"/>
        <w:spacing w:line="480" w:lineRule="auto"/>
        <w:rPr>
          <w:rFonts w:asciiTheme="minorHAnsi" w:hAnsiTheme="minorHAnsi"/>
        </w:rPr>
      </w:pPr>
      <w:r>
        <w:rPr>
          <w:rFonts w:asciiTheme="minorHAnsi" w:hAnsiTheme="minorHAnsi"/>
        </w:rPr>
        <w:tab/>
      </w:r>
      <w:r w:rsidR="00EB0A10">
        <w:rPr>
          <w:rFonts w:asciiTheme="minorHAnsi" w:hAnsiTheme="minorHAnsi"/>
        </w:rPr>
        <w:t xml:space="preserve">While many Canadian teacher education programs identify equity and diversity as key values (Crocker &amp; </w:t>
      </w:r>
      <w:proofErr w:type="spellStart"/>
      <w:r w:rsidR="00EB0A10">
        <w:rPr>
          <w:rFonts w:asciiTheme="minorHAnsi" w:hAnsiTheme="minorHAnsi"/>
        </w:rPr>
        <w:t>Dibbon</w:t>
      </w:r>
      <w:proofErr w:type="spellEnd"/>
      <w:r w:rsidR="00EB0A10">
        <w:rPr>
          <w:rFonts w:asciiTheme="minorHAnsi" w:hAnsiTheme="minorHAnsi"/>
        </w:rPr>
        <w:t>, 2008), these values do not always result in equitable representation (Brown &amp; Scott, 2014). Canadian teacher education programs have been criticized for preparing largely homogenous cohorts of teachers (Childs &amp; Ferguson, 2016; DeLuca 2015)</w:t>
      </w:r>
      <w:r w:rsidR="00C76AE8">
        <w:rPr>
          <w:rFonts w:asciiTheme="minorHAnsi" w:hAnsiTheme="minorHAnsi"/>
        </w:rPr>
        <w:t>, to the extent that the Ontario Human Rights Commission “</w:t>
      </w:r>
      <w:r w:rsidR="00C76AE8" w:rsidRPr="00A8176D">
        <w:rPr>
          <w:rFonts w:asciiTheme="minorHAnsi" w:hAnsiTheme="minorHAnsi"/>
        </w:rPr>
        <w:t>identified the lack of representativeness as a possible contributing factor to the disproportionate suspension and expulsion of racialized students and students with disabilities</w:t>
      </w:r>
      <w:r w:rsidR="00C76AE8">
        <w:rPr>
          <w:rFonts w:asciiTheme="minorHAnsi" w:hAnsiTheme="minorHAnsi"/>
        </w:rPr>
        <w:t>” (Childs et al., 2011, p. 4).</w:t>
      </w:r>
      <w:r w:rsidR="00F57024">
        <w:rPr>
          <w:rFonts w:asciiTheme="minorHAnsi" w:hAnsiTheme="minorHAnsi"/>
        </w:rPr>
        <w:t xml:space="preserve"> </w:t>
      </w:r>
      <w:r w:rsidR="00E012DD">
        <w:rPr>
          <w:rFonts w:asciiTheme="minorHAnsi" w:hAnsiTheme="minorHAnsi"/>
        </w:rPr>
        <w:t xml:space="preserve">This is troubling, particularly because specific groups remain underrepresented in our colleges, our universities, and our classrooms (Archibald, Pidgeon, </w:t>
      </w:r>
      <w:proofErr w:type="spellStart"/>
      <w:r w:rsidR="00E012DD">
        <w:rPr>
          <w:rFonts w:asciiTheme="minorHAnsi" w:hAnsiTheme="minorHAnsi"/>
        </w:rPr>
        <w:t>Janvier</w:t>
      </w:r>
      <w:proofErr w:type="spellEnd"/>
      <w:r w:rsidR="00E012DD">
        <w:rPr>
          <w:rFonts w:asciiTheme="minorHAnsi" w:hAnsiTheme="minorHAnsi"/>
        </w:rPr>
        <w:t xml:space="preserve">, Commodore, &amp; McCormick, 2002; Childs et al., 2011; Childs, Ferguson, Herbert, Broad, &amp; Zhang, 2016). This is not to </w:t>
      </w:r>
      <w:r w:rsidR="008B0488">
        <w:rPr>
          <w:rFonts w:asciiTheme="minorHAnsi" w:hAnsiTheme="minorHAnsi"/>
        </w:rPr>
        <w:t>suggest</w:t>
      </w:r>
      <w:r w:rsidR="003E3EA4">
        <w:rPr>
          <w:rFonts w:asciiTheme="minorHAnsi" w:hAnsiTheme="minorHAnsi"/>
        </w:rPr>
        <w:t xml:space="preserve"> that</w:t>
      </w:r>
      <w:r w:rsidR="00F57024">
        <w:rPr>
          <w:rFonts w:asciiTheme="minorHAnsi" w:hAnsiTheme="minorHAnsi"/>
        </w:rPr>
        <w:t xml:space="preserve"> a diverse teaching force is a panacea for inequity in our classrooms</w:t>
      </w:r>
      <w:r w:rsidR="003963FB">
        <w:rPr>
          <w:rFonts w:asciiTheme="minorHAnsi" w:hAnsiTheme="minorHAnsi"/>
        </w:rPr>
        <w:t xml:space="preserve"> (Ontario Alliance of Black School Educators, ONABSE, 2015). </w:t>
      </w:r>
      <w:r w:rsidR="00D136B3">
        <w:rPr>
          <w:rFonts w:asciiTheme="minorHAnsi" w:hAnsiTheme="minorHAnsi"/>
        </w:rPr>
        <w:t xml:space="preserve">Instead, we contend that </w:t>
      </w:r>
      <w:r w:rsidR="003E3EA4">
        <w:rPr>
          <w:rFonts w:asciiTheme="minorHAnsi" w:hAnsiTheme="minorHAnsi"/>
        </w:rPr>
        <w:t xml:space="preserve">a diversely representative teaching force benefits our students and our profession, and that </w:t>
      </w:r>
      <w:r w:rsidR="00740CF5">
        <w:rPr>
          <w:rFonts w:asciiTheme="minorHAnsi" w:hAnsiTheme="minorHAnsi"/>
        </w:rPr>
        <w:t xml:space="preserve">by examining gaps in representation, we </w:t>
      </w:r>
      <w:r w:rsidR="00DE6728">
        <w:rPr>
          <w:rFonts w:asciiTheme="minorHAnsi" w:hAnsiTheme="minorHAnsi"/>
        </w:rPr>
        <w:t>are better able to examine which practices truly support articulated goals of access, equity, and diversity.</w:t>
      </w:r>
    </w:p>
    <w:p w14:paraId="576EF77F" w14:textId="6ACC7522" w:rsidR="00BC2605" w:rsidRDefault="002B66B3" w:rsidP="00C753EE">
      <w:pPr>
        <w:pStyle w:val="NoSpacing"/>
        <w:spacing w:line="480" w:lineRule="auto"/>
        <w:jc w:val="center"/>
        <w:rPr>
          <w:rFonts w:asciiTheme="minorHAnsi" w:hAnsiTheme="minorHAnsi"/>
          <w:b/>
        </w:rPr>
      </w:pPr>
      <w:r>
        <w:rPr>
          <w:rFonts w:asciiTheme="minorHAnsi" w:hAnsiTheme="minorHAnsi"/>
          <w:b/>
        </w:rPr>
        <w:t>The Case for Equitable Representation</w:t>
      </w:r>
    </w:p>
    <w:p w14:paraId="355F7999" w14:textId="77777777" w:rsidR="006544F5" w:rsidRDefault="002B66B3" w:rsidP="00C753EE">
      <w:pPr>
        <w:pStyle w:val="NoSpacing"/>
        <w:spacing w:line="480" w:lineRule="auto"/>
        <w:rPr>
          <w:rFonts w:asciiTheme="minorHAnsi" w:hAnsiTheme="minorHAnsi"/>
        </w:rPr>
      </w:pPr>
      <w:r>
        <w:rPr>
          <w:rFonts w:asciiTheme="minorHAnsi" w:hAnsiTheme="minorHAnsi"/>
        </w:rPr>
        <w:tab/>
      </w:r>
      <w:r w:rsidR="003E455E">
        <w:rPr>
          <w:rFonts w:asciiTheme="minorHAnsi" w:hAnsiTheme="minorHAnsi"/>
        </w:rPr>
        <w:t xml:space="preserve"> </w:t>
      </w:r>
      <w:r w:rsidR="00A933AC">
        <w:rPr>
          <w:rFonts w:asciiTheme="minorHAnsi" w:hAnsiTheme="minorHAnsi"/>
        </w:rPr>
        <w:t xml:space="preserve">As </w:t>
      </w:r>
      <w:proofErr w:type="spellStart"/>
      <w:r w:rsidR="00A933AC">
        <w:rPr>
          <w:rFonts w:asciiTheme="minorHAnsi" w:hAnsiTheme="minorHAnsi"/>
        </w:rPr>
        <w:t>Kotzee</w:t>
      </w:r>
      <w:proofErr w:type="spellEnd"/>
      <w:r w:rsidR="00A933AC">
        <w:rPr>
          <w:rFonts w:asciiTheme="minorHAnsi" w:hAnsiTheme="minorHAnsi"/>
        </w:rPr>
        <w:t xml:space="preserve"> and Martin (2013) contend, “universities have a moral and political obligation to work in ways to ensure that traditionally excluded groups have opportunities to contribute to the development of knowledge and understanding” (p. 638).</w:t>
      </w:r>
      <w:r w:rsidR="00232C8B">
        <w:rPr>
          <w:rFonts w:asciiTheme="minorHAnsi" w:hAnsiTheme="minorHAnsi"/>
        </w:rPr>
        <w:t xml:space="preserve"> This perspective on equity </w:t>
      </w:r>
      <w:r w:rsidR="00F97060">
        <w:rPr>
          <w:rFonts w:asciiTheme="minorHAnsi" w:hAnsiTheme="minorHAnsi"/>
        </w:rPr>
        <w:t>stems from the belief that any sufficiently qualified individual</w:t>
      </w:r>
      <w:r w:rsidR="007A4226">
        <w:rPr>
          <w:rStyle w:val="FootnoteReference"/>
          <w:rFonts w:asciiTheme="minorHAnsi" w:hAnsiTheme="minorHAnsi"/>
        </w:rPr>
        <w:footnoteReference w:id="1"/>
      </w:r>
      <w:r w:rsidR="00F97060">
        <w:rPr>
          <w:rFonts w:asciiTheme="minorHAnsi" w:hAnsiTheme="minorHAnsi"/>
        </w:rPr>
        <w:t xml:space="preserve"> should be able to pursue a </w:t>
      </w:r>
      <w:r w:rsidR="00F97060">
        <w:rPr>
          <w:rFonts w:asciiTheme="minorHAnsi" w:hAnsiTheme="minorHAnsi"/>
        </w:rPr>
        <w:lastRenderedPageBreak/>
        <w:t xml:space="preserve">career in teaching, regardless of their socioeconomic background, cultural capital, or racial/cultural identity (see Wang &amp; </w:t>
      </w:r>
      <w:proofErr w:type="spellStart"/>
      <w:r w:rsidR="00F97060">
        <w:rPr>
          <w:rFonts w:asciiTheme="minorHAnsi" w:hAnsiTheme="minorHAnsi"/>
        </w:rPr>
        <w:t>Shulruf</w:t>
      </w:r>
      <w:proofErr w:type="spellEnd"/>
      <w:r w:rsidR="00F97060">
        <w:rPr>
          <w:rFonts w:asciiTheme="minorHAnsi" w:hAnsiTheme="minorHAnsi"/>
        </w:rPr>
        <w:t>, 2013).</w:t>
      </w:r>
      <w:r w:rsidR="005175C4">
        <w:rPr>
          <w:rFonts w:asciiTheme="minorHAnsi" w:hAnsiTheme="minorHAnsi"/>
        </w:rPr>
        <w:t xml:space="preserve"> </w:t>
      </w:r>
      <w:r w:rsidR="00022A18">
        <w:rPr>
          <w:rFonts w:asciiTheme="minorHAnsi" w:hAnsiTheme="minorHAnsi"/>
        </w:rPr>
        <w:t>A representative teaching force that reflects the diversity of the student population supports both student outcomes and teacher reten</w:t>
      </w:r>
      <w:r w:rsidR="0044042B">
        <w:rPr>
          <w:rFonts w:asciiTheme="minorHAnsi" w:hAnsiTheme="minorHAnsi"/>
        </w:rPr>
        <w:t xml:space="preserve">tion (Villegas &amp; Irvine, 2010). </w:t>
      </w:r>
      <w:r w:rsidR="0054432C">
        <w:rPr>
          <w:rFonts w:asciiTheme="minorHAnsi" w:hAnsiTheme="minorHAnsi"/>
        </w:rPr>
        <w:t xml:space="preserve">Such teachers are well positioned to foster culturally-informed relationships, have high expectations of </w:t>
      </w:r>
      <w:r w:rsidR="00D4669A">
        <w:rPr>
          <w:rFonts w:asciiTheme="minorHAnsi" w:hAnsiTheme="minorHAnsi"/>
        </w:rPr>
        <w:t>students, and take up (and keep) teaching assignments in difficult-to-staff communities (</w:t>
      </w:r>
      <w:r w:rsidR="00F96C25">
        <w:rPr>
          <w:rFonts w:asciiTheme="minorHAnsi" w:hAnsiTheme="minorHAnsi"/>
        </w:rPr>
        <w:t xml:space="preserve">Minister’s National Working Group on Education, MNWGE, 2002; ONABSE, 2015; </w:t>
      </w:r>
      <w:r w:rsidR="0058775D">
        <w:rPr>
          <w:rFonts w:asciiTheme="minorHAnsi" w:hAnsiTheme="minorHAnsi"/>
        </w:rPr>
        <w:t xml:space="preserve">Villegas &amp; Irvine, 2010). </w:t>
      </w:r>
      <w:r w:rsidR="004D55E7">
        <w:rPr>
          <w:rFonts w:asciiTheme="minorHAnsi" w:hAnsiTheme="minorHAnsi"/>
        </w:rPr>
        <w:t>Indeed, teacher educators across Ontario recognize that all students benefit when we work to improve the equity and accessibility of our programs (Petrarca &amp; Kitchen, 2017).</w:t>
      </w:r>
      <w:r w:rsidR="005C7CE2">
        <w:rPr>
          <w:rFonts w:asciiTheme="minorHAnsi" w:hAnsiTheme="minorHAnsi"/>
        </w:rPr>
        <w:t xml:space="preserve"> </w:t>
      </w:r>
    </w:p>
    <w:p w14:paraId="7CC0505D" w14:textId="4C0E0E3F" w:rsidR="00C753EE" w:rsidRDefault="005C7CE2" w:rsidP="00C753EE">
      <w:pPr>
        <w:pStyle w:val="NoSpacing"/>
        <w:spacing w:line="480" w:lineRule="auto"/>
        <w:ind w:firstLine="720"/>
        <w:rPr>
          <w:rFonts w:asciiTheme="minorHAnsi" w:hAnsiTheme="minorHAnsi"/>
        </w:rPr>
      </w:pPr>
      <w:r>
        <w:rPr>
          <w:rFonts w:asciiTheme="minorHAnsi" w:hAnsiTheme="minorHAnsi"/>
        </w:rPr>
        <w:t xml:space="preserve">With these benefits in mind, proponents of equitable representation argue that </w:t>
      </w:r>
      <w:r w:rsidR="007E359B">
        <w:rPr>
          <w:rFonts w:asciiTheme="minorHAnsi" w:hAnsiTheme="minorHAnsi"/>
        </w:rPr>
        <w:t xml:space="preserve">Canada’s diverse students should see themselves reflected in a diverse teaching force (see Childs &amp; Ferguson, 2016). </w:t>
      </w:r>
      <w:r w:rsidR="00193A67">
        <w:rPr>
          <w:rFonts w:asciiTheme="minorHAnsi" w:hAnsiTheme="minorHAnsi"/>
        </w:rPr>
        <w:t xml:space="preserve">By extension, our teacher education programs </w:t>
      </w:r>
      <w:r w:rsidR="00B65E9D">
        <w:rPr>
          <w:rFonts w:asciiTheme="minorHAnsi" w:hAnsiTheme="minorHAnsi"/>
        </w:rPr>
        <w:t xml:space="preserve">should </w:t>
      </w:r>
      <w:r w:rsidR="00E8386D">
        <w:rPr>
          <w:rFonts w:asciiTheme="minorHAnsi" w:hAnsiTheme="minorHAnsi"/>
        </w:rPr>
        <w:t>be admitting</w:t>
      </w:r>
      <w:r w:rsidR="00021ADA">
        <w:rPr>
          <w:rFonts w:asciiTheme="minorHAnsi" w:hAnsiTheme="minorHAnsi"/>
        </w:rPr>
        <w:t xml:space="preserve"> teacher candidates </w:t>
      </w:r>
      <w:r w:rsidR="00DD74B6">
        <w:rPr>
          <w:rFonts w:asciiTheme="minorHAnsi" w:hAnsiTheme="minorHAnsi"/>
        </w:rPr>
        <w:t xml:space="preserve">that also reflect this diversity: </w:t>
      </w:r>
      <w:r w:rsidR="00540111">
        <w:rPr>
          <w:rFonts w:asciiTheme="minorHAnsi" w:hAnsiTheme="minorHAnsi"/>
        </w:rPr>
        <w:t xml:space="preserve">while </w:t>
      </w:r>
      <w:r w:rsidR="001B2E63">
        <w:rPr>
          <w:rFonts w:asciiTheme="minorHAnsi" w:hAnsiTheme="minorHAnsi"/>
        </w:rPr>
        <w:t xml:space="preserve">admissions are not the only barrier to </w:t>
      </w:r>
      <w:r w:rsidR="00365F60">
        <w:rPr>
          <w:rFonts w:asciiTheme="minorHAnsi" w:hAnsiTheme="minorHAnsi"/>
        </w:rPr>
        <w:t xml:space="preserve">equity in teacher education (see </w:t>
      </w:r>
      <w:proofErr w:type="spellStart"/>
      <w:r w:rsidR="00365F60">
        <w:rPr>
          <w:rFonts w:asciiTheme="minorHAnsi" w:hAnsiTheme="minorHAnsi"/>
        </w:rPr>
        <w:t>Lemisko</w:t>
      </w:r>
      <w:proofErr w:type="spellEnd"/>
      <w:r w:rsidR="00365F60">
        <w:rPr>
          <w:rFonts w:asciiTheme="minorHAnsi" w:hAnsiTheme="minorHAnsi"/>
        </w:rPr>
        <w:t xml:space="preserve"> &amp; </w:t>
      </w:r>
      <w:proofErr w:type="spellStart"/>
      <w:r w:rsidR="00365F60">
        <w:rPr>
          <w:rFonts w:asciiTheme="minorHAnsi" w:hAnsiTheme="minorHAnsi"/>
        </w:rPr>
        <w:t>Hellsten</w:t>
      </w:r>
      <w:proofErr w:type="spellEnd"/>
      <w:r w:rsidR="00365F60">
        <w:rPr>
          <w:rFonts w:asciiTheme="minorHAnsi" w:hAnsiTheme="minorHAnsi"/>
        </w:rPr>
        <w:t xml:space="preserve">, in press), </w:t>
      </w:r>
      <w:r w:rsidR="004A4DB4">
        <w:rPr>
          <w:rFonts w:asciiTheme="minorHAnsi" w:hAnsiTheme="minorHAnsi"/>
        </w:rPr>
        <w:t xml:space="preserve">if </w:t>
      </w:r>
      <w:r w:rsidR="00A63D34">
        <w:rPr>
          <w:rFonts w:asciiTheme="minorHAnsi" w:hAnsiTheme="minorHAnsi"/>
        </w:rPr>
        <w:t xml:space="preserve">Canadian </w:t>
      </w:r>
      <w:r w:rsidR="004A4DB4">
        <w:rPr>
          <w:rFonts w:asciiTheme="minorHAnsi" w:hAnsiTheme="minorHAnsi"/>
        </w:rPr>
        <w:t xml:space="preserve">teacher candidates are a largely homogenous group, </w:t>
      </w:r>
      <w:r w:rsidR="00A63D34">
        <w:rPr>
          <w:rFonts w:asciiTheme="minorHAnsi" w:hAnsiTheme="minorHAnsi"/>
        </w:rPr>
        <w:t xml:space="preserve">Canadian teachers will be as well. </w:t>
      </w:r>
      <w:r w:rsidR="00F2048F">
        <w:rPr>
          <w:rFonts w:asciiTheme="minorHAnsi" w:hAnsiTheme="minorHAnsi"/>
        </w:rPr>
        <w:t xml:space="preserve">As we describe in the following section, </w:t>
      </w:r>
      <w:r w:rsidR="006906E1">
        <w:rPr>
          <w:rFonts w:asciiTheme="minorHAnsi" w:hAnsiTheme="minorHAnsi"/>
        </w:rPr>
        <w:t xml:space="preserve">the purpose of this study is to examine </w:t>
      </w:r>
      <w:r w:rsidR="00827D0D">
        <w:rPr>
          <w:rFonts w:asciiTheme="minorHAnsi" w:hAnsiTheme="minorHAnsi"/>
        </w:rPr>
        <w:t>the current state of representation for underrepresented groups in Ontario teacher education following a series of contextual changes in the province’s programs.</w:t>
      </w:r>
    </w:p>
    <w:p w14:paraId="6BF45E94" w14:textId="77777777" w:rsidR="00C047D7" w:rsidRDefault="00C047D7" w:rsidP="00C753EE">
      <w:pPr>
        <w:pStyle w:val="NoSpacing"/>
        <w:spacing w:line="480" w:lineRule="auto"/>
        <w:jc w:val="center"/>
        <w:rPr>
          <w:rFonts w:asciiTheme="minorHAnsi" w:hAnsiTheme="minorHAnsi"/>
          <w:b/>
        </w:rPr>
      </w:pPr>
      <w:r w:rsidRPr="00A47198">
        <w:rPr>
          <w:rFonts w:asciiTheme="minorHAnsi" w:hAnsiTheme="minorHAnsi"/>
          <w:b/>
        </w:rPr>
        <w:t>Purpose of the Study</w:t>
      </w:r>
    </w:p>
    <w:p w14:paraId="602D9951" w14:textId="6D5FBE94" w:rsidR="00C047D7" w:rsidRDefault="00397FAD" w:rsidP="00C753EE">
      <w:pPr>
        <w:pStyle w:val="NoSpacing"/>
        <w:spacing w:line="480" w:lineRule="auto"/>
        <w:rPr>
          <w:rFonts w:asciiTheme="minorHAnsi" w:hAnsiTheme="minorHAnsi"/>
        </w:rPr>
      </w:pPr>
      <w:r>
        <w:rPr>
          <w:rFonts w:asciiTheme="minorHAnsi" w:hAnsiTheme="minorHAnsi"/>
          <w:b/>
        </w:rPr>
        <w:tab/>
      </w:r>
      <w:r w:rsidR="00C047D7">
        <w:rPr>
          <w:rFonts w:asciiTheme="minorHAnsi" w:hAnsiTheme="minorHAnsi"/>
        </w:rPr>
        <w:t xml:space="preserve">To our knowledge, there are no current, public data related to rates of representation in Ontario teacher education. Ontario’s Teacher Education Application Service (TEAS, 2016) provides annual statistics identifying the number of applicants, applications, and acceptances to </w:t>
      </w:r>
      <w:r w:rsidR="00C047D7">
        <w:rPr>
          <w:rFonts w:asciiTheme="minorHAnsi" w:hAnsiTheme="minorHAnsi"/>
        </w:rPr>
        <w:lastRenderedPageBreak/>
        <w:t xml:space="preserve">Ontario’s publicly funded teacher education programs, however, TEAS </w:t>
      </w:r>
      <w:proofErr w:type="gramStart"/>
      <w:r w:rsidR="00C047D7">
        <w:rPr>
          <w:rFonts w:asciiTheme="minorHAnsi" w:hAnsiTheme="minorHAnsi"/>
        </w:rPr>
        <w:t>does</w:t>
      </w:r>
      <w:proofErr w:type="gramEnd"/>
      <w:r w:rsidR="00C047D7">
        <w:rPr>
          <w:rFonts w:asciiTheme="minorHAnsi" w:hAnsiTheme="minorHAnsi"/>
        </w:rPr>
        <w:t xml:space="preserve"> not provide these statistics for members of specific underrepresented groups. While Finnie, </w:t>
      </w:r>
      <w:proofErr w:type="spellStart"/>
      <w:r w:rsidR="00C047D7">
        <w:rPr>
          <w:rFonts w:asciiTheme="minorHAnsi" w:hAnsiTheme="minorHAnsi"/>
        </w:rPr>
        <w:t>Wismer</w:t>
      </w:r>
      <w:proofErr w:type="spellEnd"/>
      <w:r w:rsidR="00C047D7">
        <w:rPr>
          <w:rFonts w:asciiTheme="minorHAnsi" w:hAnsiTheme="minorHAnsi"/>
        </w:rPr>
        <w:t xml:space="preserve">, and Mueller (2015) draw on the Youth </w:t>
      </w:r>
      <w:proofErr w:type="gramStart"/>
      <w:r w:rsidR="00C047D7">
        <w:rPr>
          <w:rFonts w:asciiTheme="minorHAnsi" w:hAnsiTheme="minorHAnsi"/>
        </w:rPr>
        <w:t>In</w:t>
      </w:r>
      <w:proofErr w:type="gramEnd"/>
      <w:r w:rsidR="00C047D7">
        <w:rPr>
          <w:rFonts w:asciiTheme="minorHAnsi" w:hAnsiTheme="minorHAnsi"/>
        </w:rPr>
        <w:t xml:space="preserve"> Transition Survey to discuss representation, these data are for all of Ontario postsecondary education, and may not be consistent with teacher education specifically. The purpose of this study, then, was to gather descriptive statistics as described by Mertens (2015), and to provide baseline data for Ontario teacher educators seeking to make decisions about their programs. While further quantitative analysis would be valuable, such analysis was not a primary goal of this study. Reflecting Mendelson (2006), “this [study] is diagnostic: it uses the available data to provide an accurate picture of the state of affairs as it stands now and to suggest what should be our focus for the future” (p. 1). This purpose was pursued through the following research questions:</w:t>
      </w:r>
    </w:p>
    <w:p w14:paraId="505FA18D" w14:textId="77777777" w:rsidR="00C047D7" w:rsidRDefault="00C047D7" w:rsidP="00C753EE">
      <w:pPr>
        <w:pStyle w:val="NoSpacing"/>
        <w:numPr>
          <w:ilvl w:val="0"/>
          <w:numId w:val="5"/>
        </w:numPr>
        <w:spacing w:line="480" w:lineRule="auto"/>
        <w:rPr>
          <w:rFonts w:asciiTheme="minorHAnsi" w:hAnsiTheme="minorHAnsi"/>
        </w:rPr>
      </w:pPr>
      <w:r>
        <w:rPr>
          <w:rFonts w:asciiTheme="minorHAnsi" w:hAnsiTheme="minorHAnsi"/>
        </w:rPr>
        <w:t>What are the application, admission, and acceptance rates of underrepresented groups within Ontario’s existing four-semester teacher education programs?</w:t>
      </w:r>
    </w:p>
    <w:p w14:paraId="7FC571FD" w14:textId="77777777" w:rsidR="00C047D7" w:rsidRDefault="00C047D7" w:rsidP="00C753EE">
      <w:pPr>
        <w:pStyle w:val="NoSpacing"/>
        <w:numPr>
          <w:ilvl w:val="0"/>
          <w:numId w:val="5"/>
        </w:numPr>
        <w:spacing w:line="480" w:lineRule="auto"/>
        <w:rPr>
          <w:rFonts w:asciiTheme="minorHAnsi" w:hAnsiTheme="minorHAnsi"/>
        </w:rPr>
      </w:pPr>
      <w:r>
        <w:rPr>
          <w:rFonts w:asciiTheme="minorHAnsi" w:hAnsiTheme="minorHAnsi"/>
        </w:rPr>
        <w:t>How do these application, admission, and acceptance rates compare to the rates within the two-semester program structure?</w:t>
      </w:r>
    </w:p>
    <w:p w14:paraId="59CEE439" w14:textId="5DF84EA4" w:rsidR="007A4226" w:rsidRPr="00C753EE" w:rsidRDefault="00C047D7" w:rsidP="00C753EE">
      <w:pPr>
        <w:pStyle w:val="NoSpacing"/>
        <w:numPr>
          <w:ilvl w:val="0"/>
          <w:numId w:val="5"/>
        </w:numPr>
        <w:spacing w:line="480" w:lineRule="auto"/>
        <w:rPr>
          <w:rFonts w:asciiTheme="minorHAnsi" w:hAnsiTheme="minorHAnsi"/>
        </w:rPr>
      </w:pPr>
      <w:r w:rsidRPr="00C753EE">
        <w:rPr>
          <w:rFonts w:asciiTheme="minorHAnsi" w:hAnsiTheme="minorHAnsi"/>
        </w:rPr>
        <w:t>If the application, admission, and acceptance rates have changed, are there variations between different underrepresented groups?</w:t>
      </w:r>
    </w:p>
    <w:p w14:paraId="3EF1697C" w14:textId="5245569C" w:rsidR="005405A4" w:rsidRDefault="001556F8" w:rsidP="00C753EE">
      <w:pPr>
        <w:pStyle w:val="NoSpacing"/>
        <w:spacing w:line="480" w:lineRule="auto"/>
        <w:rPr>
          <w:rFonts w:asciiTheme="minorHAnsi" w:hAnsiTheme="minorHAnsi"/>
        </w:rPr>
      </w:pPr>
      <w:r>
        <w:rPr>
          <w:rFonts w:asciiTheme="minorHAnsi" w:hAnsiTheme="minorHAnsi"/>
        </w:rPr>
        <w:t xml:space="preserve">Before we discuss </w:t>
      </w:r>
      <w:r w:rsidR="005405A4">
        <w:rPr>
          <w:rFonts w:asciiTheme="minorHAnsi" w:hAnsiTheme="minorHAnsi"/>
        </w:rPr>
        <w:t xml:space="preserve">the </w:t>
      </w:r>
      <w:proofErr w:type="gramStart"/>
      <w:r w:rsidR="005405A4">
        <w:rPr>
          <w:rFonts w:asciiTheme="minorHAnsi" w:hAnsiTheme="minorHAnsi"/>
        </w:rPr>
        <w:t>methods</w:t>
      </w:r>
      <w:proofErr w:type="gramEnd"/>
      <w:r w:rsidR="005405A4">
        <w:rPr>
          <w:rFonts w:asciiTheme="minorHAnsi" w:hAnsiTheme="minorHAnsi"/>
        </w:rPr>
        <w:t xml:space="preserve"> we used to pursue these questions, in the following section, we outline the context for the present study, including recent changes to Ontario’s teacher education programs as well as existing research into equity and access in teacher education admissions.</w:t>
      </w:r>
    </w:p>
    <w:p w14:paraId="491882B3" w14:textId="77777777" w:rsidR="0074138F" w:rsidRDefault="0074138F" w:rsidP="00C753EE">
      <w:pPr>
        <w:pStyle w:val="NoSpacing"/>
        <w:spacing w:line="480" w:lineRule="auto"/>
        <w:rPr>
          <w:rFonts w:asciiTheme="minorHAnsi" w:hAnsiTheme="minorHAnsi"/>
        </w:rPr>
      </w:pPr>
    </w:p>
    <w:p w14:paraId="38F216F8" w14:textId="77777777" w:rsidR="000B102D" w:rsidRDefault="000B102D" w:rsidP="00C753EE">
      <w:pPr>
        <w:pStyle w:val="NoSpacing"/>
        <w:spacing w:line="480" w:lineRule="auto"/>
        <w:jc w:val="center"/>
        <w:rPr>
          <w:rFonts w:asciiTheme="minorHAnsi" w:hAnsiTheme="minorHAnsi"/>
          <w:b/>
        </w:rPr>
      </w:pPr>
      <w:r>
        <w:rPr>
          <w:rFonts w:asciiTheme="minorHAnsi" w:hAnsiTheme="minorHAnsi"/>
          <w:b/>
        </w:rPr>
        <w:lastRenderedPageBreak/>
        <w:t>Equity, Access, and Admissions for Underrepresented Groups</w:t>
      </w:r>
    </w:p>
    <w:p w14:paraId="3BA1C54B" w14:textId="4125167B" w:rsidR="00462C6E" w:rsidRDefault="00810C05" w:rsidP="00C753EE">
      <w:pPr>
        <w:pStyle w:val="NoSpacing"/>
        <w:spacing w:line="480" w:lineRule="auto"/>
        <w:rPr>
          <w:rFonts w:asciiTheme="minorHAnsi" w:hAnsiTheme="minorHAnsi"/>
        </w:rPr>
      </w:pPr>
      <w:r>
        <w:rPr>
          <w:rFonts w:asciiTheme="minorHAnsi" w:hAnsiTheme="minorHAnsi"/>
        </w:rPr>
        <w:tab/>
      </w:r>
      <w:r w:rsidR="004A4FF3">
        <w:rPr>
          <w:rFonts w:asciiTheme="minorHAnsi" w:hAnsiTheme="minorHAnsi"/>
        </w:rPr>
        <w:t xml:space="preserve">This study draws on two related but distinct areas of research: access to postsecondary studies and teacher education admissions. </w:t>
      </w:r>
      <w:r w:rsidR="004A4FF3" w:rsidRPr="00FD5273">
        <w:rPr>
          <w:rFonts w:asciiTheme="minorHAnsi" w:hAnsiTheme="minorHAnsi"/>
        </w:rPr>
        <w:t>Access</w:t>
      </w:r>
      <w:r w:rsidR="004A4FF3">
        <w:rPr>
          <w:rFonts w:asciiTheme="minorHAnsi" w:hAnsiTheme="minorHAnsi"/>
        </w:rPr>
        <w:t xml:space="preserve"> studies are typically concerned with </w:t>
      </w:r>
      <w:r w:rsidR="004A4FF3" w:rsidRPr="00A95701">
        <w:rPr>
          <w:rFonts w:asciiTheme="minorHAnsi" w:hAnsiTheme="minorHAnsi"/>
        </w:rPr>
        <w:t>whether</w:t>
      </w:r>
      <w:r w:rsidR="004A4FF3">
        <w:rPr>
          <w:rFonts w:asciiTheme="minorHAnsi" w:hAnsiTheme="minorHAnsi"/>
        </w:rPr>
        <w:t xml:space="preserve"> students </w:t>
      </w:r>
      <w:proofErr w:type="gramStart"/>
      <w:r w:rsidR="004A4FF3">
        <w:rPr>
          <w:rFonts w:asciiTheme="minorHAnsi" w:hAnsiTheme="minorHAnsi"/>
        </w:rPr>
        <w:t>are able to</w:t>
      </w:r>
      <w:proofErr w:type="gramEnd"/>
      <w:r w:rsidR="004A4FF3">
        <w:rPr>
          <w:rFonts w:asciiTheme="minorHAnsi" w:hAnsiTheme="minorHAnsi"/>
        </w:rPr>
        <w:t xml:space="preserve"> participate in higher education (Bowen &amp; Bok, 1998), whereas </w:t>
      </w:r>
      <w:r w:rsidR="004A4FF3" w:rsidRPr="00FD5273">
        <w:rPr>
          <w:rFonts w:asciiTheme="minorHAnsi" w:hAnsiTheme="minorHAnsi"/>
        </w:rPr>
        <w:t>admissions</w:t>
      </w:r>
      <w:r w:rsidR="004A4FF3">
        <w:rPr>
          <w:rFonts w:asciiTheme="minorHAnsi" w:hAnsiTheme="minorHAnsi"/>
        </w:rPr>
        <w:t xml:space="preserve"> studies tend to investigate </w:t>
      </w:r>
      <w:r w:rsidR="004A4FF3" w:rsidRPr="00A95701">
        <w:rPr>
          <w:rFonts w:asciiTheme="minorHAnsi" w:hAnsiTheme="minorHAnsi"/>
        </w:rPr>
        <w:t>how</w:t>
      </w:r>
      <w:r w:rsidR="004A4FF3">
        <w:rPr>
          <w:rFonts w:asciiTheme="minorHAnsi" w:hAnsiTheme="minorHAnsi"/>
        </w:rPr>
        <w:t xml:space="preserve"> the decision of participation is made (Childs &amp; Ferguson, 2016).</w:t>
      </w:r>
      <w:r w:rsidR="00A95701">
        <w:rPr>
          <w:rFonts w:asciiTheme="minorHAnsi" w:hAnsiTheme="minorHAnsi"/>
        </w:rPr>
        <w:t xml:space="preserve"> </w:t>
      </w:r>
      <w:r w:rsidR="00032109">
        <w:rPr>
          <w:rFonts w:asciiTheme="minorHAnsi" w:hAnsiTheme="minorHAnsi"/>
        </w:rPr>
        <w:t>Taken together,</w:t>
      </w:r>
      <w:r w:rsidR="00ED6105">
        <w:rPr>
          <w:rFonts w:asciiTheme="minorHAnsi" w:hAnsiTheme="minorHAnsi"/>
        </w:rPr>
        <w:t xml:space="preserve"> these research areas </w:t>
      </w:r>
      <w:r w:rsidR="00B30402">
        <w:rPr>
          <w:rFonts w:asciiTheme="minorHAnsi" w:hAnsiTheme="minorHAnsi"/>
        </w:rPr>
        <w:t>contend that</w:t>
      </w:r>
      <w:r w:rsidR="00032109">
        <w:rPr>
          <w:rFonts w:asciiTheme="minorHAnsi" w:hAnsiTheme="minorHAnsi"/>
        </w:rPr>
        <w:t xml:space="preserve"> admissions processes should be designed in such a way that members of underrepresented groups are equitably represented in the student population, and that admissions and access barriers should not disproportionately affect these groups (</w:t>
      </w:r>
      <w:r w:rsidR="00032109" w:rsidRPr="0055018E">
        <w:rPr>
          <w:rFonts w:asciiTheme="minorHAnsi" w:hAnsiTheme="minorHAnsi"/>
        </w:rPr>
        <w:t>Stead, 2015</w:t>
      </w:r>
      <w:r w:rsidR="00032109">
        <w:rPr>
          <w:rFonts w:asciiTheme="minorHAnsi" w:hAnsiTheme="minorHAnsi"/>
        </w:rPr>
        <w:t>).</w:t>
      </w:r>
    </w:p>
    <w:p w14:paraId="37AFEB98" w14:textId="016DA2CE" w:rsidR="00201311" w:rsidRDefault="004500D2" w:rsidP="00C753EE">
      <w:pPr>
        <w:pStyle w:val="NoSpacing"/>
        <w:spacing w:line="480" w:lineRule="auto"/>
        <w:ind w:firstLine="720"/>
        <w:rPr>
          <w:rFonts w:asciiTheme="minorHAnsi" w:hAnsiTheme="minorHAnsi"/>
        </w:rPr>
      </w:pPr>
      <w:r>
        <w:rPr>
          <w:rFonts w:asciiTheme="minorHAnsi" w:hAnsiTheme="minorHAnsi"/>
        </w:rPr>
        <w:t xml:space="preserve">Examining equity at the time of admission is particularly </w:t>
      </w:r>
      <w:r w:rsidR="00527A07">
        <w:rPr>
          <w:rFonts w:asciiTheme="minorHAnsi" w:hAnsiTheme="minorHAnsi"/>
        </w:rPr>
        <w:t xml:space="preserve">important because most Ontario teacher candidates are admitted, at least in part, using </w:t>
      </w:r>
      <w:r w:rsidR="00E653FB">
        <w:rPr>
          <w:rFonts w:asciiTheme="minorHAnsi" w:hAnsiTheme="minorHAnsi"/>
        </w:rPr>
        <w:t xml:space="preserve">longstanding cognitive tools like grade point averages (see Thomas, Alexander, &amp; </w:t>
      </w:r>
      <w:proofErr w:type="spellStart"/>
      <w:r w:rsidR="00E653FB">
        <w:rPr>
          <w:rFonts w:asciiTheme="minorHAnsi" w:hAnsiTheme="minorHAnsi"/>
        </w:rPr>
        <w:t>Eckland</w:t>
      </w:r>
      <w:proofErr w:type="spellEnd"/>
      <w:r w:rsidR="00E653FB">
        <w:rPr>
          <w:rFonts w:asciiTheme="minorHAnsi" w:hAnsiTheme="minorHAnsi"/>
        </w:rPr>
        <w:t>, 1979)</w:t>
      </w:r>
      <w:r w:rsidR="0024414D">
        <w:rPr>
          <w:rFonts w:asciiTheme="minorHAnsi" w:hAnsiTheme="minorHAnsi"/>
        </w:rPr>
        <w:t>. S</w:t>
      </w:r>
      <w:r w:rsidR="00E653FB">
        <w:rPr>
          <w:rFonts w:asciiTheme="minorHAnsi" w:hAnsiTheme="minorHAnsi"/>
        </w:rPr>
        <w:t xml:space="preserve">uch tools, while useful, have been criticized for creating barriers for underrepresented groups who would otherwise contribute to </w:t>
      </w:r>
      <w:r w:rsidR="007B75D9">
        <w:rPr>
          <w:rFonts w:asciiTheme="minorHAnsi" w:hAnsiTheme="minorHAnsi"/>
        </w:rPr>
        <w:t xml:space="preserve">a diversely representative teaching population (Archibald et a., 2002). </w:t>
      </w:r>
      <w:r w:rsidR="009D4248">
        <w:rPr>
          <w:rFonts w:asciiTheme="minorHAnsi" w:hAnsiTheme="minorHAnsi"/>
        </w:rPr>
        <w:t xml:space="preserve">Importantly, equity and student quality are not mutually exclusive: programs need not choose between a diverse population and a qualified one. As Deluca (2015) suggests, equity and quality are “two interrelated conditions” (p. 270), </w:t>
      </w:r>
      <w:r w:rsidR="00DE02DC">
        <w:rPr>
          <w:rFonts w:asciiTheme="minorHAnsi" w:hAnsiTheme="minorHAnsi"/>
        </w:rPr>
        <w:t xml:space="preserve">in that teacher educators should be striving for both attributes in their programs. </w:t>
      </w:r>
      <w:proofErr w:type="spellStart"/>
      <w:r w:rsidR="00DE02DC">
        <w:rPr>
          <w:rFonts w:asciiTheme="minorHAnsi" w:hAnsiTheme="minorHAnsi"/>
        </w:rPr>
        <w:t>Guinier</w:t>
      </w:r>
      <w:proofErr w:type="spellEnd"/>
      <w:r w:rsidR="00DE02DC">
        <w:rPr>
          <w:rFonts w:asciiTheme="minorHAnsi" w:hAnsiTheme="minorHAnsi"/>
        </w:rPr>
        <w:t xml:space="preserve"> (2003) </w:t>
      </w:r>
      <w:r w:rsidR="000D1F04">
        <w:rPr>
          <w:rFonts w:asciiTheme="minorHAnsi" w:hAnsiTheme="minorHAnsi"/>
        </w:rPr>
        <w:t>similarly observes that a diverse student population may be “more likely to fulfil the institution’s public and forward-looking goals</w:t>
      </w:r>
      <w:r w:rsidR="00EB1F8A">
        <w:rPr>
          <w:rFonts w:asciiTheme="minorHAnsi" w:hAnsiTheme="minorHAnsi"/>
        </w:rPr>
        <w:t>”</w:t>
      </w:r>
      <w:r w:rsidR="000D1F04">
        <w:rPr>
          <w:rFonts w:asciiTheme="minorHAnsi" w:hAnsiTheme="minorHAnsi"/>
        </w:rPr>
        <w:t xml:space="preserve"> (p. 42). Integrating equity perspectives may therefore be particularly useful for aligning admissions processes with the equitable goals articulated by many of Canada’s teacher education programs (Crocker &amp; </w:t>
      </w:r>
      <w:proofErr w:type="spellStart"/>
      <w:r w:rsidR="000D1F04">
        <w:rPr>
          <w:rFonts w:asciiTheme="minorHAnsi" w:hAnsiTheme="minorHAnsi"/>
        </w:rPr>
        <w:t>Dibbon</w:t>
      </w:r>
      <w:proofErr w:type="spellEnd"/>
      <w:r w:rsidR="000D1F04">
        <w:rPr>
          <w:rFonts w:asciiTheme="minorHAnsi" w:hAnsiTheme="minorHAnsi"/>
        </w:rPr>
        <w:t>, 2008).</w:t>
      </w:r>
    </w:p>
    <w:p w14:paraId="2AA31982" w14:textId="343342A7" w:rsidR="0024414D" w:rsidRDefault="0024414D" w:rsidP="00C753EE">
      <w:pPr>
        <w:pStyle w:val="NoSpacing"/>
        <w:spacing w:line="480" w:lineRule="auto"/>
        <w:ind w:firstLine="720"/>
        <w:rPr>
          <w:rFonts w:asciiTheme="minorHAnsi" w:hAnsiTheme="minorHAnsi"/>
        </w:rPr>
      </w:pPr>
      <w:r>
        <w:rPr>
          <w:rFonts w:asciiTheme="minorHAnsi" w:hAnsiTheme="minorHAnsi"/>
        </w:rPr>
        <w:lastRenderedPageBreak/>
        <w:t xml:space="preserve">Equitable admissions </w:t>
      </w:r>
      <w:r w:rsidR="006744E6">
        <w:rPr>
          <w:rFonts w:asciiTheme="minorHAnsi" w:hAnsiTheme="minorHAnsi"/>
        </w:rPr>
        <w:t xml:space="preserve">also </w:t>
      </w:r>
      <w:r>
        <w:rPr>
          <w:rFonts w:asciiTheme="minorHAnsi" w:hAnsiTheme="minorHAnsi"/>
        </w:rPr>
        <w:t xml:space="preserve">offer benefits for both the teaching profession and society in general (Brennan &amp; Naidoo, 2008). Niemann and Maruyama (2005) note, for example, that diverse classrooms have “positive effects on retention, college satisfaction, self-confidence, interpersonal skills, and leadership” (p. 412). Despite concerns that students admitted under equity policies will not perform well, researchers from </w:t>
      </w:r>
      <w:proofErr w:type="gramStart"/>
      <w:r>
        <w:rPr>
          <w:rFonts w:asciiTheme="minorHAnsi" w:hAnsiTheme="minorHAnsi"/>
        </w:rPr>
        <w:t>a number of</w:t>
      </w:r>
      <w:proofErr w:type="gramEnd"/>
      <w:r>
        <w:rPr>
          <w:rFonts w:asciiTheme="minorHAnsi" w:hAnsiTheme="minorHAnsi"/>
        </w:rPr>
        <w:t xml:space="preserve"> postsecondary contexts have found that equitable admissions also benefit members of underrepresented groups. Cortes (2010), for example, found that minority students who attended more selective institutions (that is, institutions with higher academic thresholds) achieved higher grades and graduated more often than students in less-selective programs. Writing from a medical education context, Searle (2003) similarly observed that “while these students had lower entrance scores, their performance was the same as matched controlled students on entering residency [later in the program]” (p. 290).</w:t>
      </w:r>
    </w:p>
    <w:p w14:paraId="497D678D" w14:textId="5989BF0D" w:rsidR="0024414D" w:rsidRDefault="0024414D" w:rsidP="00C753EE">
      <w:pPr>
        <w:pStyle w:val="NoSpacing"/>
        <w:spacing w:line="480" w:lineRule="auto"/>
        <w:ind w:firstLine="720"/>
        <w:rPr>
          <w:rFonts w:asciiTheme="minorHAnsi" w:hAnsiTheme="minorHAnsi"/>
        </w:rPr>
      </w:pPr>
      <w:r>
        <w:rPr>
          <w:rFonts w:asciiTheme="minorHAnsi" w:hAnsiTheme="minorHAnsi"/>
        </w:rPr>
        <w:t xml:space="preserve">While minoritized students benefit from attending </w:t>
      </w:r>
      <w:r w:rsidR="001C3F10">
        <w:rPr>
          <w:rFonts w:asciiTheme="minorHAnsi" w:hAnsiTheme="minorHAnsi"/>
        </w:rPr>
        <w:t>post-secondary education (PSE)</w:t>
      </w:r>
      <w:r>
        <w:rPr>
          <w:rFonts w:asciiTheme="minorHAnsi" w:hAnsiTheme="minorHAnsi"/>
        </w:rPr>
        <w:t xml:space="preserve">, and while such students can contribute to our programs and their own communities, our colleagues are nevertheless concerned about “the homogenization of the teaching population” (Holden &amp; Kitchen, 2017, p. 69). This is a timely issue for teacher educators. As Mendelson (2006) notes, “improving educational outcomes is critical right now, and cannot wait for many years. The educational failures sown today will be the social and economic costs reaped tomorrow – and in this case, tomorrow is not a distant future” (p. 5). Again, this is not to suggest that non-minoritized teachers do not support outcomes for underrepresented students. Instead, as Ryan, Pollock, and Antonelli (2009) contend, a representative and qualified teaching force is required to advance student success while also understanding, communicating with, and </w:t>
      </w:r>
      <w:r>
        <w:rPr>
          <w:rFonts w:asciiTheme="minorHAnsi" w:hAnsiTheme="minorHAnsi"/>
        </w:rPr>
        <w:lastRenderedPageBreak/>
        <w:t xml:space="preserve">identifying with minoritized students in ways that </w:t>
      </w:r>
      <w:r w:rsidR="00E07F09">
        <w:rPr>
          <w:rFonts w:asciiTheme="minorHAnsi" w:hAnsiTheme="minorHAnsi"/>
        </w:rPr>
        <w:t xml:space="preserve">homogenized </w:t>
      </w:r>
      <w:r w:rsidR="004233D7">
        <w:rPr>
          <w:rFonts w:asciiTheme="minorHAnsi" w:hAnsiTheme="minorHAnsi"/>
        </w:rPr>
        <w:t>groups of teachers</w:t>
      </w:r>
      <w:r>
        <w:rPr>
          <w:rFonts w:asciiTheme="minorHAnsi" w:hAnsiTheme="minorHAnsi"/>
        </w:rPr>
        <w:t xml:space="preserve"> </w:t>
      </w:r>
      <w:r w:rsidR="003B4C10">
        <w:rPr>
          <w:rFonts w:asciiTheme="minorHAnsi" w:hAnsiTheme="minorHAnsi"/>
        </w:rPr>
        <w:t>may not be able to</w:t>
      </w:r>
      <w:r>
        <w:rPr>
          <w:rFonts w:asciiTheme="minorHAnsi" w:hAnsiTheme="minorHAnsi"/>
        </w:rPr>
        <w:t xml:space="preserve"> (p. 595). </w:t>
      </w:r>
    </w:p>
    <w:p w14:paraId="6FE007BB" w14:textId="51F55985" w:rsidR="00045231" w:rsidRDefault="00B7599D" w:rsidP="0074138F">
      <w:pPr>
        <w:pStyle w:val="NoSpacing"/>
        <w:spacing w:line="480" w:lineRule="auto"/>
        <w:ind w:firstLine="720"/>
        <w:rPr>
          <w:rFonts w:asciiTheme="minorHAnsi" w:hAnsiTheme="minorHAnsi"/>
        </w:rPr>
      </w:pPr>
      <w:r>
        <w:rPr>
          <w:rFonts w:asciiTheme="minorHAnsi" w:hAnsiTheme="minorHAnsi"/>
        </w:rPr>
        <w:t xml:space="preserve">Who, then, do we mean when we discuss equitable representation for underrepresented groups? </w:t>
      </w:r>
      <w:r w:rsidR="003C44D6">
        <w:rPr>
          <w:rFonts w:asciiTheme="minorHAnsi" w:hAnsiTheme="minorHAnsi"/>
        </w:rPr>
        <w:t xml:space="preserve">Underrepresentation differs between provinces and across international contexts </w:t>
      </w:r>
      <w:r w:rsidR="003C44D6" w:rsidRPr="00B01CC1">
        <w:rPr>
          <w:rFonts w:asciiTheme="minorHAnsi" w:hAnsiTheme="minorHAnsi"/>
        </w:rPr>
        <w:t xml:space="preserve">(Black, Cortes, &amp; </w:t>
      </w:r>
      <w:proofErr w:type="spellStart"/>
      <w:r w:rsidR="003C44D6" w:rsidRPr="00B01CC1">
        <w:rPr>
          <w:rFonts w:asciiTheme="minorHAnsi" w:hAnsiTheme="minorHAnsi"/>
        </w:rPr>
        <w:t>Lincove</w:t>
      </w:r>
      <w:proofErr w:type="spellEnd"/>
      <w:r w:rsidR="003C44D6" w:rsidRPr="00B01CC1">
        <w:rPr>
          <w:rFonts w:asciiTheme="minorHAnsi" w:hAnsiTheme="minorHAnsi"/>
        </w:rPr>
        <w:t>, 2015; Cortes, 2010; Finn</w:t>
      </w:r>
      <w:r w:rsidR="003C44D6">
        <w:rPr>
          <w:rFonts w:asciiTheme="minorHAnsi" w:hAnsiTheme="minorHAnsi"/>
        </w:rPr>
        <w:t xml:space="preserve">ie, Childs, &amp; </w:t>
      </w:r>
      <w:proofErr w:type="spellStart"/>
      <w:r w:rsidR="003C44D6">
        <w:rPr>
          <w:rFonts w:asciiTheme="minorHAnsi" w:hAnsiTheme="minorHAnsi"/>
        </w:rPr>
        <w:t>Wismer</w:t>
      </w:r>
      <w:proofErr w:type="spellEnd"/>
      <w:r w:rsidR="003C44D6">
        <w:rPr>
          <w:rFonts w:asciiTheme="minorHAnsi" w:hAnsiTheme="minorHAnsi"/>
        </w:rPr>
        <w:t xml:space="preserve">, 2011b). In Ontario, groups that are underrepresented in </w:t>
      </w:r>
      <w:r w:rsidR="001C3F10">
        <w:rPr>
          <w:rFonts w:asciiTheme="minorHAnsi" w:hAnsiTheme="minorHAnsi"/>
        </w:rPr>
        <w:t xml:space="preserve">PSE </w:t>
      </w:r>
      <w:r w:rsidR="003C44D6">
        <w:rPr>
          <w:rFonts w:asciiTheme="minorHAnsi" w:hAnsiTheme="minorHAnsi"/>
        </w:rPr>
        <w:t xml:space="preserve">include students from low-income families; rural or remote students; students from single-parent families; first- and second-generation immigrants; students of First Nation, </w:t>
      </w:r>
      <w:r w:rsidR="00132C66">
        <w:rPr>
          <w:rFonts w:asciiTheme="minorHAnsi" w:hAnsiTheme="minorHAnsi"/>
        </w:rPr>
        <w:t>Métis</w:t>
      </w:r>
      <w:r w:rsidR="003C44D6">
        <w:rPr>
          <w:rFonts w:asciiTheme="minorHAnsi" w:hAnsiTheme="minorHAnsi"/>
        </w:rPr>
        <w:t>, and Inuit ancestry</w:t>
      </w:r>
      <w:r w:rsidR="00132C66">
        <w:rPr>
          <w:rStyle w:val="FootnoteReference"/>
          <w:rFonts w:asciiTheme="minorHAnsi" w:hAnsiTheme="minorHAnsi"/>
        </w:rPr>
        <w:footnoteReference w:id="2"/>
      </w:r>
      <w:r w:rsidR="003C44D6">
        <w:rPr>
          <w:rFonts w:asciiTheme="minorHAnsi" w:hAnsiTheme="minorHAnsi"/>
        </w:rPr>
        <w:t>; students with disabilities</w:t>
      </w:r>
      <w:r w:rsidR="008015E7">
        <w:rPr>
          <w:rStyle w:val="FootnoteReference"/>
          <w:rFonts w:asciiTheme="minorHAnsi" w:hAnsiTheme="minorHAnsi"/>
        </w:rPr>
        <w:footnoteReference w:id="3"/>
      </w:r>
      <w:r w:rsidR="003C44D6">
        <w:rPr>
          <w:rFonts w:asciiTheme="minorHAnsi" w:hAnsiTheme="minorHAnsi"/>
        </w:rPr>
        <w:t>; first-generation students</w:t>
      </w:r>
      <w:r w:rsidR="00132C66">
        <w:rPr>
          <w:rStyle w:val="FootnoteReference"/>
          <w:rFonts w:asciiTheme="minorHAnsi" w:hAnsiTheme="minorHAnsi"/>
        </w:rPr>
        <w:footnoteReference w:id="4"/>
      </w:r>
      <w:r w:rsidR="003C44D6">
        <w:rPr>
          <w:rFonts w:asciiTheme="minorHAnsi" w:hAnsiTheme="minorHAnsi"/>
        </w:rPr>
        <w:t>; visible minorities; and racialized minorities (</w:t>
      </w:r>
      <w:proofErr w:type="spellStart"/>
      <w:r w:rsidR="003C44D6">
        <w:rPr>
          <w:rFonts w:asciiTheme="minorHAnsi" w:hAnsiTheme="minorHAnsi"/>
        </w:rPr>
        <w:t>Falkenberg</w:t>
      </w:r>
      <w:proofErr w:type="spellEnd"/>
      <w:r w:rsidR="003C44D6">
        <w:rPr>
          <w:rFonts w:asciiTheme="minorHAnsi" w:hAnsiTheme="minorHAnsi"/>
        </w:rPr>
        <w:t xml:space="preserve">, 2015; Finnie et al., 2011b.; Wang &amp; </w:t>
      </w:r>
      <w:proofErr w:type="spellStart"/>
      <w:r w:rsidR="003C44D6">
        <w:rPr>
          <w:rFonts w:asciiTheme="minorHAnsi" w:hAnsiTheme="minorHAnsi"/>
        </w:rPr>
        <w:t>Shulruf</w:t>
      </w:r>
      <w:proofErr w:type="spellEnd"/>
      <w:r w:rsidR="003C44D6">
        <w:rPr>
          <w:rFonts w:asciiTheme="minorHAnsi" w:hAnsiTheme="minorHAnsi"/>
        </w:rPr>
        <w:t xml:space="preserve">, 2013). </w:t>
      </w:r>
      <w:r w:rsidR="001C61DE">
        <w:rPr>
          <w:rFonts w:asciiTheme="minorHAnsi" w:hAnsiTheme="minorHAnsi"/>
        </w:rPr>
        <w:t>These populations are difficult to measure during the admissions process, however. Such measurements rely on applicants’ willingness to self-identify, which can be affected by how equity admissions sections are constructed and perceived (</w:t>
      </w:r>
      <w:proofErr w:type="spellStart"/>
      <w:r w:rsidR="00623C6B">
        <w:rPr>
          <w:rFonts w:asciiTheme="minorHAnsi" w:hAnsiTheme="minorHAnsi"/>
        </w:rPr>
        <w:t>Oloo</w:t>
      </w:r>
      <w:proofErr w:type="spellEnd"/>
      <w:r w:rsidR="00623C6B">
        <w:rPr>
          <w:rFonts w:asciiTheme="minorHAnsi" w:hAnsiTheme="minorHAnsi"/>
        </w:rPr>
        <w:t>, 2007; Thomson et al., 2011).</w:t>
      </w:r>
      <w:r w:rsidR="00C77BB8">
        <w:rPr>
          <w:rFonts w:asciiTheme="minorHAnsi" w:hAnsiTheme="minorHAnsi"/>
        </w:rPr>
        <w:t xml:space="preserve"> A</w:t>
      </w:r>
      <w:r w:rsidR="00D568AE">
        <w:rPr>
          <w:rFonts w:asciiTheme="minorHAnsi" w:hAnsiTheme="minorHAnsi"/>
        </w:rPr>
        <w:t xml:space="preserve">s the Association of Canadian Deans of Education (ACDE, 2014) notes, “it is important to be cognizant of how our policies and practices determine who is included and who is excluded from educational opportunities” (p. 4). </w:t>
      </w:r>
      <w:r w:rsidR="00BA7337">
        <w:rPr>
          <w:rFonts w:asciiTheme="minorHAnsi" w:hAnsiTheme="minorHAnsi"/>
        </w:rPr>
        <w:t xml:space="preserve">Representation measurements </w:t>
      </w:r>
      <w:r w:rsidR="009B1548">
        <w:rPr>
          <w:rFonts w:asciiTheme="minorHAnsi" w:hAnsiTheme="minorHAnsi"/>
        </w:rPr>
        <w:t xml:space="preserve">should </w:t>
      </w:r>
      <w:r w:rsidR="00C77BB8">
        <w:rPr>
          <w:rFonts w:asciiTheme="minorHAnsi" w:hAnsiTheme="minorHAnsi"/>
        </w:rPr>
        <w:t xml:space="preserve">therefore </w:t>
      </w:r>
      <w:r w:rsidR="009B1548">
        <w:rPr>
          <w:rFonts w:asciiTheme="minorHAnsi" w:hAnsiTheme="minorHAnsi"/>
        </w:rPr>
        <w:t>be stre</w:t>
      </w:r>
      <w:r w:rsidR="00492410">
        <w:rPr>
          <w:rFonts w:asciiTheme="minorHAnsi" w:hAnsiTheme="minorHAnsi"/>
        </w:rPr>
        <w:t>ngthened (Thomson et al., 2011).</w:t>
      </w:r>
      <w:r w:rsidR="009B1548">
        <w:rPr>
          <w:rFonts w:asciiTheme="minorHAnsi" w:hAnsiTheme="minorHAnsi"/>
        </w:rPr>
        <w:t xml:space="preserve"> </w:t>
      </w:r>
      <w:r w:rsidR="0001046F">
        <w:rPr>
          <w:rFonts w:asciiTheme="minorHAnsi" w:hAnsiTheme="minorHAnsi"/>
        </w:rPr>
        <w:t>T</w:t>
      </w:r>
      <w:r w:rsidR="00433E78">
        <w:rPr>
          <w:rFonts w:asciiTheme="minorHAnsi" w:hAnsiTheme="minorHAnsi"/>
        </w:rPr>
        <w:t xml:space="preserve">o </w:t>
      </w:r>
      <w:r w:rsidR="00433E78">
        <w:rPr>
          <w:rFonts w:asciiTheme="minorHAnsi" w:hAnsiTheme="minorHAnsi"/>
        </w:rPr>
        <w:lastRenderedPageBreak/>
        <w:t xml:space="preserve">understand </w:t>
      </w:r>
      <w:r w:rsidR="00A70343">
        <w:rPr>
          <w:rFonts w:asciiTheme="minorHAnsi" w:hAnsiTheme="minorHAnsi"/>
        </w:rPr>
        <w:t xml:space="preserve">whether our efforts are succeeding, </w:t>
      </w:r>
      <w:r w:rsidR="0001046F">
        <w:rPr>
          <w:rFonts w:asciiTheme="minorHAnsi" w:hAnsiTheme="minorHAnsi"/>
        </w:rPr>
        <w:t xml:space="preserve">however, </w:t>
      </w:r>
      <w:r w:rsidR="00A70343">
        <w:rPr>
          <w:rFonts w:asciiTheme="minorHAnsi" w:hAnsiTheme="minorHAnsi"/>
        </w:rPr>
        <w:t xml:space="preserve">we would do well to </w:t>
      </w:r>
      <w:r w:rsidR="00C966DE">
        <w:rPr>
          <w:rFonts w:asciiTheme="minorHAnsi" w:hAnsiTheme="minorHAnsi"/>
        </w:rPr>
        <w:t>continue examining who participates in our programs.</w:t>
      </w:r>
    </w:p>
    <w:p w14:paraId="08FB496A" w14:textId="7A6F28AB" w:rsidR="0092716A" w:rsidRDefault="00952647" w:rsidP="0074138F">
      <w:pPr>
        <w:pStyle w:val="NoSpacing"/>
        <w:spacing w:line="480" w:lineRule="auto"/>
        <w:ind w:firstLine="720"/>
        <w:rPr>
          <w:rFonts w:asciiTheme="minorHAnsi" w:hAnsiTheme="minorHAnsi"/>
        </w:rPr>
      </w:pPr>
      <w:r>
        <w:rPr>
          <w:rFonts w:asciiTheme="minorHAnsi" w:hAnsiTheme="minorHAnsi"/>
        </w:rPr>
        <w:t xml:space="preserve">In the Ontario </w:t>
      </w:r>
      <w:r w:rsidR="00E80EA1">
        <w:rPr>
          <w:rFonts w:asciiTheme="minorHAnsi" w:hAnsiTheme="minorHAnsi"/>
        </w:rPr>
        <w:t xml:space="preserve">PSE </w:t>
      </w:r>
      <w:r>
        <w:rPr>
          <w:rFonts w:asciiTheme="minorHAnsi" w:hAnsiTheme="minorHAnsi"/>
        </w:rPr>
        <w:t xml:space="preserve">context, 45.5% of the population accesses university by the age of 21. </w:t>
      </w:r>
      <w:r w:rsidR="00F928A2">
        <w:rPr>
          <w:rFonts w:asciiTheme="minorHAnsi" w:hAnsiTheme="minorHAnsi"/>
        </w:rPr>
        <w:t xml:space="preserve">By comparison, only 25.2% of youth from low-income households do so, and first-generation youth enrol at a rate of 25.7%. </w:t>
      </w:r>
      <w:r w:rsidR="00D23A1A">
        <w:rPr>
          <w:rFonts w:asciiTheme="minorHAnsi" w:hAnsiTheme="minorHAnsi"/>
        </w:rPr>
        <w:t xml:space="preserve">Youth with disabilities participate at a rate of 22.1%. Only 17.8% of Aboriginal youth in Ontario access university by 21, the lowest Aboriginal participation rate in Canada (Finnie et al., 2011b). </w:t>
      </w:r>
      <w:r w:rsidR="00012D27" w:rsidRPr="00B01CC1">
        <w:rPr>
          <w:rFonts w:asciiTheme="minorHAnsi" w:hAnsiTheme="minorHAnsi"/>
        </w:rPr>
        <w:t xml:space="preserve">While some immigrant and visible minority groups participate at higher rates than the general population, this is not consistent across population groups (Finnie, Childs, &amp; </w:t>
      </w:r>
      <w:proofErr w:type="spellStart"/>
      <w:r w:rsidR="00012D27" w:rsidRPr="00B01CC1">
        <w:rPr>
          <w:rFonts w:asciiTheme="minorHAnsi" w:hAnsiTheme="minorHAnsi"/>
        </w:rPr>
        <w:t>Wismer</w:t>
      </w:r>
      <w:proofErr w:type="spellEnd"/>
      <w:r w:rsidR="00012D27" w:rsidRPr="00B01CC1">
        <w:rPr>
          <w:rFonts w:asciiTheme="minorHAnsi" w:hAnsiTheme="minorHAnsi"/>
        </w:rPr>
        <w:t>; 2011a; 2011b).</w:t>
      </w:r>
      <w:r w:rsidR="002B5C99">
        <w:rPr>
          <w:rFonts w:asciiTheme="minorHAnsi" w:hAnsiTheme="minorHAnsi"/>
        </w:rPr>
        <w:t xml:space="preserve"> These gaps in participation are noteworthy because the diversity of Ontario’s teacher candidates affects </w:t>
      </w:r>
      <w:r w:rsidR="002B5C99">
        <w:rPr>
          <w:rFonts w:asciiTheme="minorHAnsi" w:hAnsiTheme="minorHAnsi"/>
        </w:rPr>
        <w:t xml:space="preserve">which students have access to the economic benefits of postsecondary school as well as the graduates that school boards </w:t>
      </w:r>
      <w:proofErr w:type="gramStart"/>
      <w:r w:rsidR="002B5C99">
        <w:rPr>
          <w:rFonts w:asciiTheme="minorHAnsi" w:hAnsiTheme="minorHAnsi"/>
        </w:rPr>
        <w:t>are able to</w:t>
      </w:r>
      <w:proofErr w:type="gramEnd"/>
      <w:r w:rsidR="002B5C99">
        <w:rPr>
          <w:rFonts w:asciiTheme="minorHAnsi" w:hAnsiTheme="minorHAnsi"/>
        </w:rPr>
        <w:t xml:space="preserve"> choose from during the hiring process (Archibald et al., 2002; Cortes, 2010).</w:t>
      </w:r>
      <w:r w:rsidR="002B5C99">
        <w:rPr>
          <w:rFonts w:asciiTheme="minorHAnsi" w:hAnsiTheme="minorHAnsi"/>
        </w:rPr>
        <w:t xml:space="preserve"> As</w:t>
      </w:r>
      <w:r w:rsidR="0092716A">
        <w:rPr>
          <w:rFonts w:asciiTheme="minorHAnsi" w:hAnsiTheme="minorHAnsi"/>
        </w:rPr>
        <w:t xml:space="preserve"> a result, </w:t>
      </w:r>
      <w:proofErr w:type="spellStart"/>
      <w:r w:rsidR="0092716A">
        <w:rPr>
          <w:rFonts w:asciiTheme="minorHAnsi" w:hAnsiTheme="minorHAnsi"/>
        </w:rPr>
        <w:t>Sedlacek</w:t>
      </w:r>
      <w:proofErr w:type="spellEnd"/>
      <w:r w:rsidR="0092716A">
        <w:rPr>
          <w:rFonts w:asciiTheme="minorHAnsi" w:hAnsiTheme="minorHAnsi"/>
        </w:rPr>
        <w:t xml:space="preserve"> (2004) argues that “we need to think of the cultural context and experiences of some people differently from those of the group in power if we wish to be fair to them” (p. 5). </w:t>
      </w:r>
      <w:r w:rsidR="002B5C99">
        <w:rPr>
          <w:rFonts w:asciiTheme="minorHAnsi" w:hAnsiTheme="minorHAnsi"/>
        </w:rPr>
        <w:t xml:space="preserve">Equitable </w:t>
      </w:r>
      <w:r w:rsidR="00986AA6">
        <w:rPr>
          <w:rFonts w:asciiTheme="minorHAnsi" w:hAnsiTheme="minorHAnsi"/>
        </w:rPr>
        <w:t xml:space="preserve">access perspectives are rooted in this notion of fairness </w:t>
      </w:r>
      <w:proofErr w:type="gramStart"/>
      <w:r w:rsidR="00986AA6">
        <w:rPr>
          <w:rFonts w:asciiTheme="minorHAnsi" w:hAnsiTheme="minorHAnsi"/>
        </w:rPr>
        <w:t>in a given</w:t>
      </w:r>
      <w:proofErr w:type="gramEnd"/>
      <w:r w:rsidR="00986AA6">
        <w:rPr>
          <w:rFonts w:asciiTheme="minorHAnsi" w:hAnsiTheme="minorHAnsi"/>
        </w:rPr>
        <w:t xml:space="preserve"> context.</w:t>
      </w:r>
      <w:r w:rsidR="0024414D">
        <w:rPr>
          <w:rFonts w:asciiTheme="minorHAnsi" w:hAnsiTheme="minorHAnsi"/>
        </w:rPr>
        <w:t xml:space="preserve"> </w:t>
      </w:r>
      <w:r w:rsidR="00CA4BF0">
        <w:rPr>
          <w:rFonts w:asciiTheme="minorHAnsi" w:hAnsiTheme="minorHAnsi"/>
        </w:rPr>
        <w:t xml:space="preserve">In the following sections, we detail the context of admissions in Ontario teacher education, </w:t>
      </w:r>
      <w:r w:rsidR="00E10BC5">
        <w:rPr>
          <w:rFonts w:asciiTheme="minorHAnsi" w:hAnsiTheme="minorHAnsi"/>
        </w:rPr>
        <w:t xml:space="preserve">and outline </w:t>
      </w:r>
      <w:r w:rsidR="00B05299">
        <w:rPr>
          <w:rFonts w:asciiTheme="minorHAnsi" w:hAnsiTheme="minorHAnsi"/>
        </w:rPr>
        <w:t xml:space="preserve">how the present study </w:t>
      </w:r>
      <w:r w:rsidR="003D0445">
        <w:rPr>
          <w:rFonts w:asciiTheme="minorHAnsi" w:hAnsiTheme="minorHAnsi"/>
        </w:rPr>
        <w:t xml:space="preserve">attempts to provide further insight into </w:t>
      </w:r>
      <w:r w:rsidR="00CB147C">
        <w:rPr>
          <w:rFonts w:asciiTheme="minorHAnsi" w:hAnsiTheme="minorHAnsi"/>
        </w:rPr>
        <w:t>admission rates for underrepresented groups in our teacher education programs.</w:t>
      </w:r>
    </w:p>
    <w:p w14:paraId="3AE7129A" w14:textId="369235B5" w:rsidR="00A47198" w:rsidRDefault="0024414D" w:rsidP="0074138F">
      <w:pPr>
        <w:pStyle w:val="NoSpacing"/>
        <w:spacing w:line="480" w:lineRule="auto"/>
        <w:jc w:val="center"/>
        <w:rPr>
          <w:rFonts w:asciiTheme="minorHAnsi" w:hAnsiTheme="minorHAnsi"/>
          <w:b/>
        </w:rPr>
      </w:pPr>
      <w:r>
        <w:rPr>
          <w:rFonts w:asciiTheme="minorHAnsi" w:hAnsiTheme="minorHAnsi"/>
          <w:b/>
        </w:rPr>
        <w:t>Examining the Ontario Context</w:t>
      </w:r>
    </w:p>
    <w:p w14:paraId="0EE710AF" w14:textId="10ED03D9" w:rsidR="004B2C7D" w:rsidRDefault="004B2C7D" w:rsidP="0074138F">
      <w:pPr>
        <w:pStyle w:val="NoSpacing"/>
        <w:spacing w:line="480" w:lineRule="auto"/>
        <w:ind w:firstLine="720"/>
        <w:rPr>
          <w:rFonts w:asciiTheme="minorHAnsi" w:hAnsiTheme="minorHAnsi"/>
        </w:rPr>
      </w:pPr>
      <w:r>
        <w:rPr>
          <w:rFonts w:asciiTheme="minorHAnsi" w:hAnsiTheme="minorHAnsi"/>
        </w:rPr>
        <w:t xml:space="preserve">Research on equity admissions in </w:t>
      </w:r>
      <w:r w:rsidR="00CD27B6">
        <w:rPr>
          <w:rFonts w:asciiTheme="minorHAnsi" w:hAnsiTheme="minorHAnsi"/>
        </w:rPr>
        <w:t>Canada</w:t>
      </w:r>
      <w:r>
        <w:rPr>
          <w:rFonts w:asciiTheme="minorHAnsi" w:hAnsiTheme="minorHAnsi"/>
        </w:rPr>
        <w:t xml:space="preserve"> teacher education is relatively limited</w:t>
      </w:r>
      <w:r w:rsidR="00CD27B6">
        <w:rPr>
          <w:rFonts w:asciiTheme="minorHAnsi" w:hAnsiTheme="minorHAnsi"/>
        </w:rPr>
        <w:t>, particularly within individual provinces</w:t>
      </w:r>
      <w:r>
        <w:rPr>
          <w:rFonts w:asciiTheme="minorHAnsi" w:hAnsiTheme="minorHAnsi"/>
        </w:rPr>
        <w:t xml:space="preserve">. As recently as 2011, Childs and colleagues observed that little or no research existed investigating equity of access in Ontario teacher education (p. </w:t>
      </w:r>
      <w:r>
        <w:rPr>
          <w:rFonts w:asciiTheme="minorHAnsi" w:hAnsiTheme="minorHAnsi"/>
        </w:rPr>
        <w:lastRenderedPageBreak/>
        <w:t>3). For example, the Ontario Universities’ Application Centre (OUAC) does not provide provincial statistics for the number of applications made by members of underrepresented groups (2016</w:t>
      </w:r>
      <w:r w:rsidR="00932785">
        <w:rPr>
          <w:rFonts w:asciiTheme="minorHAnsi" w:hAnsiTheme="minorHAnsi"/>
        </w:rPr>
        <w:t>a</w:t>
      </w:r>
      <w:r>
        <w:rPr>
          <w:rFonts w:asciiTheme="minorHAnsi" w:hAnsiTheme="minorHAnsi"/>
        </w:rPr>
        <w:t>), and while the Ontario College of Teachers (OCT) does identify the number of males and females certified to teach in the province, they do not report on how well the teaching population reflects student demographics (</w:t>
      </w:r>
      <w:proofErr w:type="gramStart"/>
      <w:r w:rsidR="006B1170">
        <w:rPr>
          <w:rFonts w:asciiTheme="minorHAnsi" w:hAnsiTheme="minorHAnsi"/>
        </w:rPr>
        <w:t>OCT,</w:t>
      </w:r>
      <w:proofErr w:type="gramEnd"/>
      <w:r w:rsidR="006B1170">
        <w:rPr>
          <w:rFonts w:asciiTheme="minorHAnsi" w:hAnsiTheme="minorHAnsi"/>
        </w:rPr>
        <w:t xml:space="preserve"> </w:t>
      </w:r>
      <w:r>
        <w:rPr>
          <w:rFonts w:asciiTheme="minorHAnsi" w:hAnsiTheme="minorHAnsi"/>
        </w:rPr>
        <w:t xml:space="preserve">2015). This lack of data runs contrary to articulated goals of equity and access (see Crocker &amp; </w:t>
      </w:r>
      <w:proofErr w:type="spellStart"/>
      <w:r>
        <w:rPr>
          <w:rFonts w:asciiTheme="minorHAnsi" w:hAnsiTheme="minorHAnsi"/>
        </w:rPr>
        <w:t>Dibbon</w:t>
      </w:r>
      <w:proofErr w:type="spellEnd"/>
      <w:r>
        <w:rPr>
          <w:rFonts w:asciiTheme="minorHAnsi" w:hAnsiTheme="minorHAnsi"/>
        </w:rPr>
        <w:t xml:space="preserve">, 2008): </w:t>
      </w:r>
      <w:r w:rsidR="00AC5379">
        <w:rPr>
          <w:rFonts w:asciiTheme="minorHAnsi" w:hAnsiTheme="minorHAnsi"/>
        </w:rPr>
        <w:t>i</w:t>
      </w:r>
      <w:r>
        <w:rPr>
          <w:rFonts w:asciiTheme="minorHAnsi" w:hAnsiTheme="minorHAnsi"/>
        </w:rPr>
        <w:t xml:space="preserve">f these are core program goals, then presumably teacher educators </w:t>
      </w:r>
      <w:r w:rsidR="006D7388">
        <w:rPr>
          <w:rFonts w:asciiTheme="minorHAnsi" w:hAnsiTheme="minorHAnsi"/>
        </w:rPr>
        <w:t xml:space="preserve">and other stakeholders </w:t>
      </w:r>
      <w:r>
        <w:rPr>
          <w:rFonts w:asciiTheme="minorHAnsi" w:hAnsiTheme="minorHAnsi"/>
        </w:rPr>
        <w:t>should be able to draw on relevant data to support their decision-making processes.</w:t>
      </w:r>
    </w:p>
    <w:p w14:paraId="0BD9336D" w14:textId="77777777" w:rsidR="004F4910" w:rsidRDefault="004F4910" w:rsidP="0074138F">
      <w:pPr>
        <w:pStyle w:val="NoSpacing"/>
        <w:spacing w:line="480" w:lineRule="auto"/>
        <w:ind w:firstLine="720"/>
        <w:rPr>
          <w:rFonts w:asciiTheme="minorHAnsi" w:hAnsiTheme="minorHAnsi"/>
        </w:rPr>
      </w:pPr>
      <w:r>
        <w:rPr>
          <w:rFonts w:asciiTheme="minorHAnsi" w:hAnsiTheme="minorHAnsi"/>
        </w:rPr>
        <w:t xml:space="preserve">As Harper, Patton, and Wooden (2009) suggest, “while it is important to acknowledge and honour historical advances, contemporary times call for new policy efforts to solve persistent problems” (p. 410), particularly the continued underrepresentation of racialized and Aboriginal teachers (Archibald et al., 2002; Ryan et al., 2009). We contend that Ontario’s teacher education programs are well positioned to build on the successes of current equity practices while also considering how these equity practices may be refined in the context of four-semester teacher education. Examining participation rates in the Ontario context will also support stakeholders as they craft policies for their programs (see Finnie et al. 2011b), providing both immediate data and a clearer picture of Canadian teacher admissions practices (see Cottrell, </w:t>
      </w:r>
      <w:proofErr w:type="spellStart"/>
      <w:r>
        <w:rPr>
          <w:rFonts w:asciiTheme="minorHAnsi" w:hAnsiTheme="minorHAnsi"/>
        </w:rPr>
        <w:t>Prytula</w:t>
      </w:r>
      <w:proofErr w:type="spellEnd"/>
      <w:r>
        <w:rPr>
          <w:rFonts w:asciiTheme="minorHAnsi" w:hAnsiTheme="minorHAnsi"/>
        </w:rPr>
        <w:t xml:space="preserve">, &amp; </w:t>
      </w:r>
      <w:proofErr w:type="spellStart"/>
      <w:r>
        <w:rPr>
          <w:rFonts w:asciiTheme="minorHAnsi" w:hAnsiTheme="minorHAnsi"/>
        </w:rPr>
        <w:t>Orlowski</w:t>
      </w:r>
      <w:proofErr w:type="spellEnd"/>
      <w:r>
        <w:rPr>
          <w:rFonts w:asciiTheme="minorHAnsi" w:hAnsiTheme="minorHAnsi"/>
        </w:rPr>
        <w:t>, 2015).</w:t>
      </w:r>
    </w:p>
    <w:p w14:paraId="5B4C3E92" w14:textId="4EBA6395" w:rsidR="005A1476" w:rsidRDefault="00D42861" w:rsidP="0074138F">
      <w:pPr>
        <w:pStyle w:val="NoSpacing"/>
        <w:spacing w:line="480" w:lineRule="auto"/>
        <w:ind w:firstLine="720"/>
        <w:rPr>
          <w:rFonts w:asciiTheme="minorHAnsi" w:hAnsiTheme="minorHAnsi"/>
        </w:rPr>
      </w:pPr>
      <w:r>
        <w:rPr>
          <w:rFonts w:asciiTheme="minorHAnsi" w:hAnsiTheme="minorHAnsi"/>
        </w:rPr>
        <w:t>Since</w:t>
      </w:r>
      <w:r w:rsidR="001528E6">
        <w:rPr>
          <w:rFonts w:asciiTheme="minorHAnsi" w:hAnsiTheme="minorHAnsi"/>
        </w:rPr>
        <w:t xml:space="preserve"> conversations </w:t>
      </w:r>
      <w:r w:rsidR="006D7388">
        <w:rPr>
          <w:rFonts w:asciiTheme="minorHAnsi" w:hAnsiTheme="minorHAnsi"/>
        </w:rPr>
        <w:t>about</w:t>
      </w:r>
      <w:r w:rsidR="001528E6">
        <w:rPr>
          <w:rFonts w:asciiTheme="minorHAnsi" w:hAnsiTheme="minorHAnsi"/>
        </w:rPr>
        <w:t xml:space="preserve"> access and equity are situated in the broader context of teacher education admissions, it is useful to explore current trends. </w:t>
      </w:r>
      <w:r w:rsidR="00437E4E">
        <w:rPr>
          <w:rFonts w:asciiTheme="minorHAnsi" w:hAnsiTheme="minorHAnsi"/>
        </w:rPr>
        <w:t xml:space="preserve">As is well known, Ontario’s admissions landscape has changed significantly in recent years. Figure 1 identifies the number of applications and applicants to Ontario’s 13 publicly-funded faculties of education as of </w:t>
      </w:r>
      <w:r w:rsidR="005A1476">
        <w:rPr>
          <w:rFonts w:asciiTheme="minorHAnsi" w:hAnsiTheme="minorHAnsi"/>
        </w:rPr>
        <w:br w:type="page"/>
      </w:r>
    </w:p>
    <w:p w14:paraId="170941C8" w14:textId="77777777" w:rsidR="00302C9A" w:rsidRDefault="00302C9A" w:rsidP="00302C9A">
      <w:pPr>
        <w:pStyle w:val="NoSpacing"/>
        <w:rPr>
          <w:rFonts w:asciiTheme="minorHAnsi" w:hAnsiTheme="minorHAnsi"/>
          <w:noProof/>
          <w:lang w:val="en-US"/>
        </w:rPr>
      </w:pPr>
      <w:r>
        <w:rPr>
          <w:rFonts w:asciiTheme="minorHAnsi" w:hAnsiTheme="minorHAnsi"/>
          <w:noProof/>
          <w:lang w:val="en-US"/>
        </w:rPr>
        <w:lastRenderedPageBreak/>
        <w:t>Figure 1</w:t>
      </w:r>
    </w:p>
    <w:p w14:paraId="592D47DB" w14:textId="77777777" w:rsidR="00302C9A" w:rsidRDefault="00302C9A" w:rsidP="00302C9A">
      <w:pPr>
        <w:pStyle w:val="NoSpacing"/>
        <w:rPr>
          <w:rFonts w:asciiTheme="minorHAnsi" w:hAnsiTheme="minorHAnsi"/>
          <w:noProof/>
          <w:lang w:val="en-US"/>
        </w:rPr>
      </w:pPr>
    </w:p>
    <w:p w14:paraId="392A9139" w14:textId="77777777" w:rsidR="00302C9A" w:rsidRDefault="00302C9A" w:rsidP="00302C9A">
      <w:pPr>
        <w:pStyle w:val="NoSpacing"/>
        <w:rPr>
          <w:rFonts w:asciiTheme="minorHAnsi" w:hAnsiTheme="minorHAnsi"/>
          <w:noProof/>
          <w:lang w:val="en-US"/>
        </w:rPr>
      </w:pPr>
      <w:r>
        <w:rPr>
          <w:rFonts w:asciiTheme="minorHAnsi" w:hAnsiTheme="minorHAnsi"/>
          <w:noProof/>
          <w:lang w:val="en-US"/>
        </w:rPr>
        <w:t>Applicants and Applications to Ontario Teacher Education Programs by September of Each Year</w:t>
      </w:r>
    </w:p>
    <w:p w14:paraId="31120A6E" w14:textId="77777777" w:rsidR="00302C9A" w:rsidRDefault="00302C9A" w:rsidP="00302C9A">
      <w:pPr>
        <w:pStyle w:val="NoSpacing"/>
        <w:rPr>
          <w:rFonts w:asciiTheme="minorHAnsi" w:hAnsiTheme="minorHAnsi"/>
          <w:noProof/>
          <w:lang w:val="en-US"/>
        </w:rPr>
      </w:pPr>
    </w:p>
    <w:p w14:paraId="1C26E5D2" w14:textId="77777777" w:rsidR="00302C9A" w:rsidRDefault="00302C9A" w:rsidP="00302C9A">
      <w:pPr>
        <w:pStyle w:val="NoSpacing"/>
        <w:rPr>
          <w:rFonts w:asciiTheme="minorHAnsi" w:hAnsiTheme="minorHAnsi"/>
          <w:noProof/>
          <w:lang w:val="en-US"/>
        </w:rPr>
      </w:pPr>
      <w:r>
        <w:rPr>
          <w:rFonts w:asciiTheme="minorHAnsi" w:hAnsiTheme="minorHAnsi"/>
          <w:noProof/>
          <w:lang w:val="en-US"/>
        </w:rPr>
        <w:drawing>
          <wp:inline distT="0" distB="0" distL="0" distR="0" wp14:anchorId="74ACE267" wp14:editId="27767398">
            <wp:extent cx="5943600" cy="33153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1.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315335"/>
                    </a:xfrm>
                    <a:prstGeom prst="rect">
                      <a:avLst/>
                    </a:prstGeom>
                  </pic:spPr>
                </pic:pic>
              </a:graphicData>
            </a:graphic>
          </wp:inline>
        </w:drawing>
      </w:r>
    </w:p>
    <w:p w14:paraId="1B4B642F" w14:textId="77777777" w:rsidR="00302C9A" w:rsidRDefault="00302C9A" w:rsidP="00302C9A">
      <w:pPr>
        <w:pStyle w:val="NoSpacing"/>
        <w:rPr>
          <w:rFonts w:asciiTheme="minorHAnsi" w:hAnsiTheme="minorHAnsi"/>
          <w:noProof/>
          <w:lang w:val="en-US"/>
        </w:rPr>
      </w:pPr>
    </w:p>
    <w:p w14:paraId="364F3013" w14:textId="77777777" w:rsidR="00302C9A" w:rsidRPr="00842C7C" w:rsidRDefault="00302C9A" w:rsidP="00302C9A">
      <w:pPr>
        <w:pStyle w:val="NoSpacing"/>
        <w:rPr>
          <w:rFonts w:asciiTheme="minorHAnsi" w:hAnsiTheme="minorHAnsi"/>
          <w:noProof/>
          <w:lang w:val="en-US"/>
        </w:rPr>
      </w:pPr>
      <w:r w:rsidRPr="00842C7C">
        <w:rPr>
          <w:rFonts w:asciiTheme="minorHAnsi" w:hAnsiTheme="minorHAnsi"/>
          <w:noProof/>
          <w:lang w:val="en-US"/>
        </w:rPr>
        <w:t>(OUAC, 2016a)</w:t>
      </w:r>
    </w:p>
    <w:p w14:paraId="16F409F1" w14:textId="77777777" w:rsidR="00302C9A" w:rsidRPr="00EF08D3" w:rsidRDefault="00302C9A" w:rsidP="00302C9A">
      <w:pPr>
        <w:rPr>
          <w:rFonts w:asciiTheme="minorHAnsi" w:hAnsiTheme="minorHAnsi"/>
          <w:b/>
        </w:rPr>
      </w:pPr>
      <w:r>
        <w:rPr>
          <w:rFonts w:asciiTheme="minorHAnsi" w:hAnsiTheme="minorHAnsi"/>
          <w:b/>
        </w:rPr>
        <w:br w:type="page"/>
      </w:r>
    </w:p>
    <w:p w14:paraId="477E6DEA" w14:textId="77777777" w:rsidR="00E46BD8" w:rsidRDefault="00E46BD8" w:rsidP="00E46BD8">
      <w:pPr>
        <w:pStyle w:val="NoSpacing"/>
        <w:spacing w:line="480" w:lineRule="auto"/>
        <w:rPr>
          <w:rFonts w:asciiTheme="minorHAnsi" w:hAnsiTheme="minorHAnsi"/>
        </w:rPr>
      </w:pPr>
      <w:r>
        <w:rPr>
          <w:rFonts w:asciiTheme="minorHAnsi" w:hAnsiTheme="minorHAnsi"/>
        </w:rPr>
        <w:lastRenderedPageBreak/>
        <w:t>September of each year. As Holden and Kitchen (2016) observe, significantly fewer applications are being made to the four-semester programs (2015 and 2016) than were made under the two-semester structure (2014 and earlier). Ontario’s applicant numbers fell from 9,460 as of September 2014 to 4,324 as of September 2015, representing the largest decrease in the number of applications year-over-year since at least 2007 (OUAC, 2016a). Figure 2 illustrates that these changes have also affected the number of students confirming (i.e., accepting) their admission offer. Owing to the 50% reduction in the number of admission spots (OME, 2013a), the number of students who had confirmed their offer of admission by September fell from 6,362 in 2014 to 2,823 in 2015 – a decline of more than 55% (OUAC, 2016b). Importantly, however, the declines observed in applications, applicants, and confirmations did not continue into 2016. Ontario’s teacher education programs saw only 3.7% fewer applications year-over-year in 2016, compared to 57.2% fewer the year before, and in fact saw an increase in the number of students who confirmed an offer of admission (OUAC, 2016a; 2016b). Thus, while these numbers represent a significant change from previous admissions rates, recent admission rates seem to have stabilized. The question for the present study, then, is whether these overall changes in admission rates has affected rates of representation. As our colleagues have wondered, have our new programs changed the makeup of student demographics, or made teacher education less appealing to students from underrepresented groups (Petrarca &amp; Kitchen, 2017)? In the following section, we present our methods, which serve as a starting point for exploring participation rates and equity in teacher education admissions.</w:t>
      </w:r>
    </w:p>
    <w:p w14:paraId="65753D56" w14:textId="77777777" w:rsidR="00E46BD8" w:rsidRDefault="00E46BD8">
      <w:pPr>
        <w:rPr>
          <w:rFonts w:asciiTheme="minorHAnsi" w:hAnsiTheme="minorHAnsi"/>
        </w:rPr>
      </w:pPr>
      <w:r>
        <w:rPr>
          <w:rFonts w:asciiTheme="minorHAnsi" w:hAnsiTheme="minorHAnsi"/>
        </w:rPr>
        <w:br w:type="page"/>
      </w:r>
    </w:p>
    <w:p w14:paraId="2B2E2F81" w14:textId="584B8D36" w:rsidR="00302C9A" w:rsidRDefault="00302C9A" w:rsidP="00E46BD8">
      <w:pPr>
        <w:pStyle w:val="NoSpacing"/>
        <w:rPr>
          <w:rFonts w:asciiTheme="minorHAnsi" w:hAnsiTheme="minorHAnsi"/>
          <w:noProof/>
          <w:lang w:val="en-US"/>
        </w:rPr>
      </w:pPr>
      <w:r>
        <w:rPr>
          <w:rFonts w:asciiTheme="minorHAnsi" w:hAnsiTheme="minorHAnsi"/>
          <w:noProof/>
          <w:lang w:val="en-US"/>
        </w:rPr>
        <w:lastRenderedPageBreak/>
        <w:t>Figure 2</w:t>
      </w:r>
    </w:p>
    <w:p w14:paraId="25E1303F" w14:textId="77777777" w:rsidR="00302C9A" w:rsidRDefault="00302C9A" w:rsidP="00302C9A">
      <w:pPr>
        <w:pStyle w:val="NoSpacing"/>
        <w:rPr>
          <w:rFonts w:asciiTheme="minorHAnsi" w:hAnsiTheme="minorHAnsi"/>
          <w:noProof/>
          <w:lang w:val="en-US"/>
        </w:rPr>
      </w:pPr>
    </w:p>
    <w:p w14:paraId="4B04A632" w14:textId="77777777" w:rsidR="00302C9A" w:rsidRDefault="00302C9A" w:rsidP="00302C9A">
      <w:pPr>
        <w:pStyle w:val="NoSpacing"/>
        <w:ind w:right="-180"/>
        <w:rPr>
          <w:rFonts w:asciiTheme="minorHAnsi" w:hAnsiTheme="minorHAnsi"/>
          <w:noProof/>
          <w:lang w:val="en-US"/>
        </w:rPr>
      </w:pPr>
      <w:r>
        <w:rPr>
          <w:rFonts w:asciiTheme="minorHAnsi" w:hAnsiTheme="minorHAnsi"/>
          <w:noProof/>
          <w:lang w:val="en-US"/>
        </w:rPr>
        <w:t>Applicants and Confirmations to Ontario Teacher Education Programs by September of Each Year</w:t>
      </w:r>
    </w:p>
    <w:p w14:paraId="0C68A6AE" w14:textId="77777777" w:rsidR="00302C9A" w:rsidRDefault="00302C9A" w:rsidP="00302C9A">
      <w:pPr>
        <w:pStyle w:val="NoSpacing"/>
        <w:ind w:right="-180"/>
        <w:rPr>
          <w:rFonts w:asciiTheme="minorHAnsi" w:hAnsiTheme="minorHAnsi"/>
          <w:noProof/>
          <w:lang w:val="en-US"/>
        </w:rPr>
      </w:pPr>
    </w:p>
    <w:p w14:paraId="25CF24E0" w14:textId="77777777" w:rsidR="00302C9A" w:rsidRDefault="00302C9A" w:rsidP="00302C9A">
      <w:pPr>
        <w:pStyle w:val="NoSpacing"/>
        <w:rPr>
          <w:rFonts w:asciiTheme="minorHAnsi" w:hAnsiTheme="minorHAnsi"/>
        </w:rPr>
      </w:pPr>
      <w:r>
        <w:rPr>
          <w:rFonts w:asciiTheme="minorHAnsi" w:hAnsiTheme="minorHAnsi"/>
          <w:noProof/>
          <w:lang w:val="en-US"/>
        </w:rPr>
        <w:drawing>
          <wp:inline distT="0" distB="0" distL="0" distR="0" wp14:anchorId="063D5089" wp14:editId="794741BA">
            <wp:extent cx="5943600" cy="3343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 2.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16C659AE" w14:textId="77777777" w:rsidR="00302C9A" w:rsidRDefault="00302C9A" w:rsidP="00302C9A">
      <w:pPr>
        <w:pStyle w:val="NoSpacing"/>
        <w:rPr>
          <w:rFonts w:asciiTheme="minorHAnsi" w:hAnsiTheme="minorHAnsi"/>
          <w:noProof/>
          <w:lang w:val="en-US"/>
        </w:rPr>
      </w:pPr>
    </w:p>
    <w:p w14:paraId="526B1372" w14:textId="77777777" w:rsidR="00302C9A" w:rsidRDefault="00302C9A" w:rsidP="00302C9A">
      <w:pPr>
        <w:pStyle w:val="NoSpacing"/>
        <w:rPr>
          <w:rFonts w:asciiTheme="minorHAnsi" w:hAnsiTheme="minorHAnsi"/>
          <w:noProof/>
          <w:lang w:val="en-US"/>
        </w:rPr>
      </w:pPr>
      <w:r w:rsidRPr="00842C7C">
        <w:rPr>
          <w:rFonts w:asciiTheme="minorHAnsi" w:hAnsiTheme="minorHAnsi"/>
          <w:noProof/>
          <w:lang w:val="en-US"/>
        </w:rPr>
        <w:t>(OUAC, 2016b)</w:t>
      </w:r>
    </w:p>
    <w:p w14:paraId="70D5CED5" w14:textId="77777777" w:rsidR="00302C9A" w:rsidRPr="00302C9A" w:rsidRDefault="00302C9A" w:rsidP="002D1408">
      <w:pPr>
        <w:pStyle w:val="NoSpacing"/>
        <w:rPr>
          <w:rFonts w:asciiTheme="minorHAnsi" w:hAnsiTheme="minorHAnsi"/>
        </w:rPr>
      </w:pPr>
    </w:p>
    <w:p w14:paraId="556CBA16" w14:textId="77777777" w:rsidR="005A1476" w:rsidRDefault="005A1476">
      <w:pPr>
        <w:rPr>
          <w:rFonts w:asciiTheme="minorHAnsi" w:hAnsiTheme="minorHAnsi"/>
        </w:rPr>
      </w:pPr>
      <w:r>
        <w:rPr>
          <w:rFonts w:asciiTheme="minorHAnsi" w:hAnsiTheme="minorHAnsi"/>
        </w:rPr>
        <w:br w:type="page"/>
      </w:r>
    </w:p>
    <w:p w14:paraId="48D9B8A5" w14:textId="77777777" w:rsidR="00157461" w:rsidRDefault="00AD7B58" w:rsidP="0074138F">
      <w:pPr>
        <w:pStyle w:val="NoSpacing"/>
        <w:spacing w:line="480" w:lineRule="auto"/>
        <w:jc w:val="center"/>
        <w:rPr>
          <w:rFonts w:asciiTheme="minorHAnsi" w:hAnsiTheme="minorHAnsi"/>
          <w:b/>
        </w:rPr>
      </w:pPr>
      <w:r>
        <w:rPr>
          <w:rFonts w:asciiTheme="minorHAnsi" w:hAnsiTheme="minorHAnsi"/>
          <w:b/>
        </w:rPr>
        <w:lastRenderedPageBreak/>
        <w:t>Methods</w:t>
      </w:r>
    </w:p>
    <w:p w14:paraId="2AF6465A" w14:textId="7ACD4021" w:rsidR="007C2F43" w:rsidRDefault="00157461" w:rsidP="0074138F">
      <w:pPr>
        <w:pStyle w:val="NoSpacing"/>
        <w:spacing w:line="480" w:lineRule="auto"/>
        <w:rPr>
          <w:rFonts w:asciiTheme="minorHAnsi" w:hAnsiTheme="minorHAnsi"/>
        </w:rPr>
      </w:pPr>
      <w:r>
        <w:rPr>
          <w:rFonts w:asciiTheme="minorHAnsi" w:hAnsiTheme="minorHAnsi"/>
        </w:rPr>
        <w:tab/>
        <w:t xml:space="preserve">This study, which is part of a broader research project </w:t>
      </w:r>
      <w:r w:rsidR="000B22BD">
        <w:rPr>
          <w:rFonts w:asciiTheme="minorHAnsi" w:hAnsiTheme="minorHAnsi"/>
        </w:rPr>
        <w:t xml:space="preserve">into equity and admissions </w:t>
      </w:r>
      <w:r>
        <w:rPr>
          <w:rFonts w:asciiTheme="minorHAnsi" w:hAnsiTheme="minorHAnsi"/>
        </w:rPr>
        <w:t>(</w:t>
      </w:r>
      <w:r w:rsidR="00090ACF">
        <w:rPr>
          <w:rFonts w:asciiTheme="minorHAnsi" w:hAnsiTheme="minorHAnsi"/>
        </w:rPr>
        <w:t>Holden &amp; Kitchen, 2017</w:t>
      </w:r>
      <w:r>
        <w:rPr>
          <w:rFonts w:asciiTheme="minorHAnsi" w:hAnsiTheme="minorHAnsi"/>
        </w:rPr>
        <w:t>), extends from our investigation of admissions policies in Ontario’s four-semester teac</w:t>
      </w:r>
      <w:r w:rsidR="00A94B82">
        <w:rPr>
          <w:rFonts w:asciiTheme="minorHAnsi" w:hAnsiTheme="minorHAnsi"/>
        </w:rPr>
        <w:t>her education programs (</w:t>
      </w:r>
      <w:r w:rsidR="00090ACF">
        <w:rPr>
          <w:rFonts w:asciiTheme="minorHAnsi" w:hAnsiTheme="minorHAnsi"/>
        </w:rPr>
        <w:t>Holden et al., 2016</w:t>
      </w:r>
      <w:r w:rsidR="00A94B82">
        <w:rPr>
          <w:rFonts w:asciiTheme="minorHAnsi" w:hAnsiTheme="minorHAnsi"/>
        </w:rPr>
        <w:t>). The preceding study provides a context for teacher education admissions in the province, including existing equity admissions policies. As we have described, however, participation rates, access, and equity vary between underrepresented groups, and these issues have not been examined provincially for Ontario teacher education. Thus, a s</w:t>
      </w:r>
      <w:r w:rsidR="002A3B08">
        <w:rPr>
          <w:rFonts w:asciiTheme="minorHAnsi" w:hAnsiTheme="minorHAnsi"/>
        </w:rPr>
        <w:t xml:space="preserve">ubsequent study was necessary. </w:t>
      </w:r>
      <w:r w:rsidR="00A5542F">
        <w:rPr>
          <w:rFonts w:asciiTheme="minorHAnsi" w:hAnsiTheme="minorHAnsi"/>
        </w:rPr>
        <w:t xml:space="preserve">For the present study, we gathered descriptive statistics (Mertens, 2015) from participating universities across Ontario. </w:t>
      </w:r>
      <w:r w:rsidR="00E927FD">
        <w:rPr>
          <w:rFonts w:asciiTheme="minorHAnsi" w:hAnsiTheme="minorHAnsi"/>
        </w:rPr>
        <w:t xml:space="preserve">Totals and proportions were gathered </w:t>
      </w:r>
      <w:r w:rsidR="00693284">
        <w:rPr>
          <w:rFonts w:asciiTheme="minorHAnsi" w:hAnsiTheme="minorHAnsi"/>
        </w:rPr>
        <w:t>for</w:t>
      </w:r>
      <w:r w:rsidR="00E927FD">
        <w:rPr>
          <w:rFonts w:asciiTheme="minorHAnsi" w:hAnsiTheme="minorHAnsi"/>
        </w:rPr>
        <w:t xml:space="preserve"> the number of self-identifying students who applied, were </w:t>
      </w:r>
      <w:proofErr w:type="gramStart"/>
      <w:r w:rsidR="00E927FD">
        <w:rPr>
          <w:rFonts w:asciiTheme="minorHAnsi" w:hAnsiTheme="minorHAnsi"/>
        </w:rPr>
        <w:t>offered admission</w:t>
      </w:r>
      <w:proofErr w:type="gramEnd"/>
      <w:r w:rsidR="00D97BD2">
        <w:rPr>
          <w:rFonts w:asciiTheme="minorHAnsi" w:hAnsiTheme="minorHAnsi"/>
        </w:rPr>
        <w:t xml:space="preserve"> to</w:t>
      </w:r>
      <w:r w:rsidR="00E927FD">
        <w:rPr>
          <w:rFonts w:asciiTheme="minorHAnsi" w:hAnsiTheme="minorHAnsi"/>
        </w:rPr>
        <w:t xml:space="preserve">, and entered </w:t>
      </w:r>
      <w:r w:rsidR="00D97BD2">
        <w:rPr>
          <w:rFonts w:asciiTheme="minorHAnsi" w:hAnsiTheme="minorHAnsi"/>
        </w:rPr>
        <w:t>each</w:t>
      </w:r>
      <w:r w:rsidR="00E927FD">
        <w:rPr>
          <w:rFonts w:asciiTheme="minorHAnsi" w:hAnsiTheme="minorHAnsi"/>
        </w:rPr>
        <w:t xml:space="preserve"> program, based on the underrepresented groups tracked by each institution. </w:t>
      </w:r>
      <w:r w:rsidR="00693284">
        <w:rPr>
          <w:rFonts w:asciiTheme="minorHAnsi" w:hAnsiTheme="minorHAnsi"/>
        </w:rPr>
        <w:t>This process is detailed further in the following sections.</w:t>
      </w:r>
    </w:p>
    <w:p w14:paraId="793125EF" w14:textId="77777777" w:rsidR="00826BA3" w:rsidRDefault="00826BA3" w:rsidP="0074138F">
      <w:pPr>
        <w:pStyle w:val="NoSpacing"/>
        <w:spacing w:line="480" w:lineRule="auto"/>
        <w:rPr>
          <w:rFonts w:asciiTheme="minorHAnsi" w:hAnsiTheme="minorHAnsi"/>
          <w:b/>
        </w:rPr>
      </w:pPr>
      <w:r>
        <w:rPr>
          <w:rFonts w:asciiTheme="minorHAnsi" w:hAnsiTheme="minorHAnsi"/>
          <w:b/>
        </w:rPr>
        <w:t>Selection of Sites</w:t>
      </w:r>
    </w:p>
    <w:p w14:paraId="424CFF9B" w14:textId="5F3DB385" w:rsidR="00E63509" w:rsidRDefault="00E63509" w:rsidP="0074138F">
      <w:pPr>
        <w:pStyle w:val="NoSpacing"/>
        <w:spacing w:line="480" w:lineRule="auto"/>
        <w:rPr>
          <w:rFonts w:asciiTheme="minorHAnsi" w:hAnsiTheme="minorHAnsi"/>
        </w:rPr>
      </w:pPr>
      <w:r>
        <w:rPr>
          <w:rFonts w:asciiTheme="minorHAnsi" w:hAnsiTheme="minorHAnsi"/>
        </w:rPr>
        <w:tab/>
        <w:t>To provide a province-wide scope, we sought to include every institution offering teacher education programs in Ontario since the introduction of Regulation 283/13</w:t>
      </w:r>
      <w:r w:rsidR="00F87C2D">
        <w:rPr>
          <w:rFonts w:asciiTheme="minorHAnsi" w:hAnsiTheme="minorHAnsi"/>
        </w:rPr>
        <w:t xml:space="preserve"> (OME, 2013b)</w:t>
      </w:r>
      <w:r>
        <w:rPr>
          <w:rFonts w:asciiTheme="minorHAnsi" w:hAnsiTheme="minorHAnsi"/>
        </w:rPr>
        <w:t xml:space="preserve">. </w:t>
      </w:r>
      <w:r w:rsidR="00131884">
        <w:rPr>
          <w:rFonts w:asciiTheme="minorHAnsi" w:hAnsiTheme="minorHAnsi"/>
        </w:rPr>
        <w:t xml:space="preserve">We identified 15 such institutions, including 13 publicly-funded faculties of education and two additional institutions recognized by the OCT (Casey &amp; Childs, 2011; </w:t>
      </w:r>
      <w:proofErr w:type="gramStart"/>
      <w:r w:rsidR="00131884">
        <w:rPr>
          <w:rFonts w:asciiTheme="minorHAnsi" w:hAnsiTheme="minorHAnsi"/>
        </w:rPr>
        <w:t>OCT,</w:t>
      </w:r>
      <w:proofErr w:type="gramEnd"/>
      <w:r w:rsidR="00131884">
        <w:rPr>
          <w:rFonts w:asciiTheme="minorHAnsi" w:hAnsiTheme="minorHAnsi"/>
        </w:rPr>
        <w:t xml:space="preserve"> 2015). </w:t>
      </w:r>
      <w:r w:rsidR="005F534E">
        <w:rPr>
          <w:rFonts w:asciiTheme="minorHAnsi" w:hAnsiTheme="minorHAnsi"/>
        </w:rPr>
        <w:t>This provincial perspective was valuable for fostering inter-institutional conversation and collaboration. As DeLuca (2015) describes, “institutions and networks of institutions also create new ways of knowing” (p. 273). As we have described elsewhere (</w:t>
      </w:r>
      <w:r w:rsidR="00090ACF">
        <w:rPr>
          <w:rFonts w:asciiTheme="minorHAnsi" w:hAnsiTheme="minorHAnsi"/>
        </w:rPr>
        <w:t>Holden &amp; Kitchen, 2016</w:t>
      </w:r>
      <w:r w:rsidR="005F534E">
        <w:rPr>
          <w:rFonts w:asciiTheme="minorHAnsi" w:hAnsiTheme="minorHAnsi"/>
        </w:rPr>
        <w:t xml:space="preserve">), we believe that these collaborative conversations are valuable ways to improve Ontario’s teacher education programs and the research emerging from our programs. </w:t>
      </w:r>
    </w:p>
    <w:p w14:paraId="78E009DB" w14:textId="7F573633" w:rsidR="00432EB5" w:rsidRPr="00E63509" w:rsidRDefault="00432EB5" w:rsidP="0074138F">
      <w:pPr>
        <w:pStyle w:val="NoSpacing"/>
        <w:spacing w:line="480" w:lineRule="auto"/>
        <w:rPr>
          <w:rFonts w:asciiTheme="minorHAnsi" w:hAnsiTheme="minorHAnsi"/>
        </w:rPr>
      </w:pPr>
      <w:r>
        <w:rPr>
          <w:rFonts w:asciiTheme="minorHAnsi" w:hAnsiTheme="minorHAnsi"/>
        </w:rPr>
        <w:lastRenderedPageBreak/>
        <w:tab/>
        <w:t>Invitations were sent to stakeholders at each of the 15 institutions. These stakeholders included deans and acting deans of education, program chairs and directors, university registrars, and university or department admissions officers. Stakeholders at each institution were invited to participate in the study and provide descriptive statistics</w:t>
      </w:r>
      <w:r w:rsidR="00277E30">
        <w:rPr>
          <w:rFonts w:asciiTheme="minorHAnsi" w:hAnsiTheme="minorHAnsi"/>
        </w:rPr>
        <w:t xml:space="preserve"> </w:t>
      </w:r>
      <w:r w:rsidR="00E105A8">
        <w:rPr>
          <w:rFonts w:asciiTheme="minorHAnsi" w:hAnsiTheme="minorHAnsi"/>
        </w:rPr>
        <w:t>for their programs. Thirteen universities ultimately participated in the study. One institution (Windsor) did not respond, and so was not included. The Ontario Institute for Studies in Education (OISE) declined to participate in the study</w:t>
      </w:r>
      <w:r w:rsidR="0048459B">
        <w:rPr>
          <w:rFonts w:asciiTheme="minorHAnsi" w:hAnsiTheme="minorHAnsi"/>
        </w:rPr>
        <w:t xml:space="preserve">. OISE’s teacher education program recently changed </w:t>
      </w:r>
      <w:r w:rsidR="00E105A8">
        <w:rPr>
          <w:rFonts w:asciiTheme="minorHAnsi" w:hAnsiTheme="minorHAnsi"/>
        </w:rPr>
        <w:t>from a Bachelor of Education to a Master of Teaching</w:t>
      </w:r>
      <w:r w:rsidR="001F4C41">
        <w:rPr>
          <w:rFonts w:asciiTheme="minorHAnsi" w:hAnsiTheme="minorHAnsi"/>
        </w:rPr>
        <w:t xml:space="preserve"> (</w:t>
      </w:r>
      <w:r w:rsidR="00090ACF">
        <w:rPr>
          <w:rFonts w:asciiTheme="minorHAnsi" w:hAnsiTheme="minorHAnsi"/>
        </w:rPr>
        <w:t>Holden et al., 2016</w:t>
      </w:r>
      <w:r w:rsidR="001F4C41">
        <w:rPr>
          <w:rFonts w:asciiTheme="minorHAnsi" w:hAnsiTheme="minorHAnsi"/>
        </w:rPr>
        <w:t xml:space="preserve">), and so </w:t>
      </w:r>
      <w:r w:rsidR="00BF12BE">
        <w:rPr>
          <w:rFonts w:asciiTheme="minorHAnsi" w:hAnsiTheme="minorHAnsi"/>
        </w:rPr>
        <w:t>OISE</w:t>
      </w:r>
      <w:r w:rsidR="0048459B">
        <w:rPr>
          <w:rFonts w:asciiTheme="minorHAnsi" w:hAnsiTheme="minorHAnsi"/>
        </w:rPr>
        <w:t xml:space="preserve"> </w:t>
      </w:r>
      <w:r w:rsidR="001F4C41">
        <w:rPr>
          <w:rFonts w:asciiTheme="minorHAnsi" w:hAnsiTheme="minorHAnsi"/>
        </w:rPr>
        <w:t xml:space="preserve">did not have access to </w:t>
      </w:r>
      <w:r w:rsidR="00B77595">
        <w:rPr>
          <w:rFonts w:asciiTheme="minorHAnsi" w:hAnsiTheme="minorHAnsi"/>
        </w:rPr>
        <w:t xml:space="preserve">consistent data sources that would facilitate their participation. </w:t>
      </w:r>
      <w:r w:rsidR="00E329FF">
        <w:rPr>
          <w:rFonts w:asciiTheme="minorHAnsi" w:hAnsiTheme="minorHAnsi"/>
        </w:rPr>
        <w:t xml:space="preserve">While data from OISE and Windsor are not included, the present study includes roughly 95% of the </w:t>
      </w:r>
      <w:r w:rsidR="00DD3033">
        <w:rPr>
          <w:rFonts w:asciiTheme="minorHAnsi" w:hAnsiTheme="minorHAnsi"/>
        </w:rPr>
        <w:t xml:space="preserve">current undergraduate teaching candidate population, based on the number of students who accepted their offers of admission in 2016-2017 (OUAC, 2016b). </w:t>
      </w:r>
    </w:p>
    <w:p w14:paraId="4A2AED93" w14:textId="77777777" w:rsidR="00826BA3" w:rsidRDefault="00826BA3" w:rsidP="0074138F">
      <w:pPr>
        <w:pStyle w:val="NoSpacing"/>
        <w:spacing w:line="480" w:lineRule="auto"/>
        <w:rPr>
          <w:rFonts w:asciiTheme="minorHAnsi" w:hAnsiTheme="minorHAnsi"/>
          <w:b/>
        </w:rPr>
      </w:pPr>
      <w:r>
        <w:rPr>
          <w:rFonts w:asciiTheme="minorHAnsi" w:hAnsiTheme="minorHAnsi"/>
          <w:b/>
        </w:rPr>
        <w:t>Data Collection</w:t>
      </w:r>
      <w:r w:rsidR="002B607F">
        <w:rPr>
          <w:rFonts w:asciiTheme="minorHAnsi" w:hAnsiTheme="minorHAnsi"/>
          <w:b/>
        </w:rPr>
        <w:t xml:space="preserve"> and Analysis</w:t>
      </w:r>
    </w:p>
    <w:p w14:paraId="6336D54E" w14:textId="29AE393D" w:rsidR="005973CD" w:rsidRDefault="005973CD" w:rsidP="0074138F">
      <w:pPr>
        <w:pStyle w:val="NoSpacing"/>
        <w:spacing w:line="480" w:lineRule="auto"/>
        <w:ind w:firstLine="720"/>
        <w:rPr>
          <w:rFonts w:asciiTheme="minorHAnsi" w:hAnsiTheme="minorHAnsi"/>
        </w:rPr>
      </w:pPr>
      <w:r>
        <w:rPr>
          <w:rFonts w:asciiTheme="minorHAnsi" w:hAnsiTheme="minorHAnsi"/>
        </w:rPr>
        <w:t xml:space="preserve">Application, acceptance, and admission rates are tracked individually by each institution. </w:t>
      </w:r>
      <w:r w:rsidR="00963319">
        <w:rPr>
          <w:rFonts w:asciiTheme="minorHAnsi" w:hAnsiTheme="minorHAnsi"/>
        </w:rPr>
        <w:t>As DeLuca (2012) notes, each university collects and tracks this data differently. Each university also tracks this data according to different equity policies and values (</w:t>
      </w:r>
      <w:r w:rsidR="00090ACF">
        <w:rPr>
          <w:rFonts w:asciiTheme="minorHAnsi" w:hAnsiTheme="minorHAnsi"/>
        </w:rPr>
        <w:t>Holden et al., 2016</w:t>
      </w:r>
      <w:r w:rsidR="00963319">
        <w:rPr>
          <w:rFonts w:asciiTheme="minorHAnsi" w:hAnsiTheme="minorHAnsi"/>
        </w:rPr>
        <w:t>). Thus, we invited participating universities to provide anonymized data specific to their contexts. Participants were asked to provide the following statistics:</w:t>
      </w:r>
    </w:p>
    <w:p w14:paraId="68F23387" w14:textId="77777777" w:rsidR="00963319" w:rsidRDefault="00963319" w:rsidP="0074138F">
      <w:pPr>
        <w:pStyle w:val="NoSpacing"/>
        <w:numPr>
          <w:ilvl w:val="0"/>
          <w:numId w:val="4"/>
        </w:numPr>
        <w:spacing w:line="480" w:lineRule="auto"/>
        <w:rPr>
          <w:rFonts w:asciiTheme="minorHAnsi" w:hAnsiTheme="minorHAnsi"/>
        </w:rPr>
      </w:pPr>
      <w:r>
        <w:rPr>
          <w:rFonts w:asciiTheme="minorHAnsi" w:hAnsiTheme="minorHAnsi"/>
        </w:rPr>
        <w:t>The number of applicants who self-identify as a member of an underrepresented group</w:t>
      </w:r>
    </w:p>
    <w:p w14:paraId="2EAFB1EA" w14:textId="77777777" w:rsidR="00963319" w:rsidRDefault="00963319" w:rsidP="0074138F">
      <w:pPr>
        <w:pStyle w:val="NoSpacing"/>
        <w:numPr>
          <w:ilvl w:val="0"/>
          <w:numId w:val="4"/>
        </w:numPr>
        <w:spacing w:line="480" w:lineRule="auto"/>
        <w:rPr>
          <w:rFonts w:asciiTheme="minorHAnsi" w:hAnsiTheme="minorHAnsi"/>
        </w:rPr>
      </w:pPr>
      <w:r>
        <w:rPr>
          <w:rFonts w:asciiTheme="minorHAnsi" w:hAnsiTheme="minorHAnsi"/>
        </w:rPr>
        <w:t xml:space="preserve">The number of such applicants who are </w:t>
      </w:r>
      <w:proofErr w:type="gramStart"/>
      <w:r>
        <w:rPr>
          <w:rFonts w:asciiTheme="minorHAnsi" w:hAnsiTheme="minorHAnsi"/>
        </w:rPr>
        <w:t>offered admission</w:t>
      </w:r>
      <w:proofErr w:type="gramEnd"/>
      <w:r>
        <w:rPr>
          <w:rFonts w:asciiTheme="minorHAnsi" w:hAnsiTheme="minorHAnsi"/>
        </w:rPr>
        <w:t xml:space="preserve"> to the program</w:t>
      </w:r>
    </w:p>
    <w:p w14:paraId="254918C1" w14:textId="77777777" w:rsidR="00963319" w:rsidRDefault="00963319" w:rsidP="0074138F">
      <w:pPr>
        <w:pStyle w:val="NoSpacing"/>
        <w:numPr>
          <w:ilvl w:val="0"/>
          <w:numId w:val="4"/>
        </w:numPr>
        <w:spacing w:line="480" w:lineRule="auto"/>
        <w:rPr>
          <w:rFonts w:asciiTheme="minorHAnsi" w:hAnsiTheme="minorHAnsi"/>
        </w:rPr>
      </w:pPr>
      <w:r>
        <w:rPr>
          <w:rFonts w:asciiTheme="minorHAnsi" w:hAnsiTheme="minorHAnsi"/>
        </w:rPr>
        <w:t>The number of such applicants who accept the offer of admission to the program</w:t>
      </w:r>
    </w:p>
    <w:p w14:paraId="0047672E" w14:textId="77777777" w:rsidR="00963319" w:rsidRDefault="00963319" w:rsidP="0074138F">
      <w:pPr>
        <w:pStyle w:val="NoSpacing"/>
        <w:spacing w:line="480" w:lineRule="auto"/>
        <w:rPr>
          <w:rFonts w:asciiTheme="minorHAnsi" w:hAnsiTheme="minorHAnsi"/>
        </w:rPr>
      </w:pPr>
    </w:p>
    <w:p w14:paraId="4E4DF2A1" w14:textId="77777777" w:rsidR="00963319" w:rsidRDefault="00963319" w:rsidP="0074138F">
      <w:pPr>
        <w:pStyle w:val="NoSpacing"/>
        <w:spacing w:line="480" w:lineRule="auto"/>
        <w:ind w:firstLine="720"/>
        <w:rPr>
          <w:rFonts w:asciiTheme="minorHAnsi" w:hAnsiTheme="minorHAnsi"/>
        </w:rPr>
      </w:pPr>
      <w:r>
        <w:rPr>
          <w:rFonts w:asciiTheme="minorHAnsi" w:hAnsiTheme="minorHAnsi"/>
        </w:rPr>
        <w:lastRenderedPageBreak/>
        <w:t xml:space="preserve">Stakeholders were invited to share this data for both cohorts of the four-semester teacher education program (Fall 2015 and Fall 2016), and for the preceding three years of their two-semester teacher education program (2012-2015). </w:t>
      </w:r>
      <w:r w:rsidR="002B607F">
        <w:rPr>
          <w:rFonts w:asciiTheme="minorHAnsi" w:hAnsiTheme="minorHAnsi"/>
        </w:rPr>
        <w:t>Stakeholders were asked to identify these data for each underrepresented group students choose to self-identify with, including first-generation students, mature students, students with disabilities, students of Aboriginal descent, and other racialized minorities (Finnie et al., 2011</w:t>
      </w:r>
      <w:r w:rsidR="00AD7B58">
        <w:rPr>
          <w:rFonts w:asciiTheme="minorHAnsi" w:hAnsiTheme="minorHAnsi"/>
        </w:rPr>
        <w:t>b</w:t>
      </w:r>
      <w:r w:rsidR="002B607F">
        <w:rPr>
          <w:rFonts w:asciiTheme="minorHAnsi" w:hAnsiTheme="minorHAnsi"/>
        </w:rPr>
        <w:t xml:space="preserve">; Ogilvie &amp; </w:t>
      </w:r>
      <w:proofErr w:type="spellStart"/>
      <w:r w:rsidR="002B607F">
        <w:rPr>
          <w:rFonts w:asciiTheme="minorHAnsi" w:hAnsiTheme="minorHAnsi"/>
        </w:rPr>
        <w:t>Eggleton</w:t>
      </w:r>
      <w:proofErr w:type="spellEnd"/>
      <w:r w:rsidR="002B607F">
        <w:rPr>
          <w:rFonts w:asciiTheme="minorHAnsi" w:hAnsiTheme="minorHAnsi"/>
        </w:rPr>
        <w:t xml:space="preserve">, 2011). </w:t>
      </w:r>
    </w:p>
    <w:p w14:paraId="0776221D" w14:textId="592923DC" w:rsidR="00EF5FEC" w:rsidRDefault="002B607F" w:rsidP="0074138F">
      <w:pPr>
        <w:pStyle w:val="NoSpacing"/>
        <w:spacing w:line="480" w:lineRule="auto"/>
        <w:rPr>
          <w:rFonts w:asciiTheme="minorHAnsi" w:hAnsiTheme="minorHAnsi"/>
        </w:rPr>
      </w:pPr>
      <w:r>
        <w:rPr>
          <w:rFonts w:asciiTheme="minorHAnsi" w:hAnsiTheme="minorHAnsi"/>
        </w:rPr>
        <w:tab/>
        <w:t>As each university responded, their data were tabulated according to academic year and the re</w:t>
      </w:r>
      <w:r w:rsidR="00DC6505">
        <w:rPr>
          <w:rFonts w:asciiTheme="minorHAnsi" w:hAnsiTheme="minorHAnsi"/>
        </w:rPr>
        <w:t xml:space="preserve">ported underrepresented groups. </w:t>
      </w:r>
      <w:r w:rsidR="004B3634">
        <w:rPr>
          <w:rFonts w:asciiTheme="minorHAnsi" w:hAnsiTheme="minorHAnsi"/>
        </w:rPr>
        <w:t xml:space="preserve">Proportions were calculated using the provided data as well as publicly available TEAS data for each program. </w:t>
      </w:r>
      <w:r w:rsidR="006524BF">
        <w:rPr>
          <w:rFonts w:asciiTheme="minorHAnsi" w:hAnsiTheme="minorHAnsi"/>
        </w:rPr>
        <w:t xml:space="preserve">For example, to determine the percentage of all applicants who self-identified as a member of a </w:t>
      </w:r>
      <w:proofErr w:type="gramStart"/>
      <w:r w:rsidR="006524BF">
        <w:rPr>
          <w:rFonts w:asciiTheme="minorHAnsi" w:hAnsiTheme="minorHAnsi"/>
        </w:rPr>
        <w:t>particular underrepresented</w:t>
      </w:r>
      <w:proofErr w:type="gramEnd"/>
      <w:r w:rsidR="006524BF">
        <w:rPr>
          <w:rFonts w:asciiTheme="minorHAnsi" w:hAnsiTheme="minorHAnsi"/>
        </w:rPr>
        <w:t xml:space="preserve"> group, the reported number was divided by the total number of applications that program received that year. That is, if 20 </w:t>
      </w:r>
      <w:r w:rsidR="00F97D15">
        <w:rPr>
          <w:rFonts w:asciiTheme="minorHAnsi" w:hAnsiTheme="minorHAnsi"/>
        </w:rPr>
        <w:t xml:space="preserve">first-generation </w:t>
      </w:r>
      <w:r w:rsidR="006524BF">
        <w:rPr>
          <w:rFonts w:asciiTheme="minorHAnsi" w:hAnsiTheme="minorHAnsi"/>
        </w:rPr>
        <w:t xml:space="preserve">applicants self-identified in an applicant pool of 1,000, the reported </w:t>
      </w:r>
      <w:r w:rsidR="00F97D15">
        <w:rPr>
          <w:rFonts w:asciiTheme="minorHAnsi" w:hAnsiTheme="minorHAnsi"/>
        </w:rPr>
        <w:t xml:space="preserve">first-generation </w:t>
      </w:r>
      <w:r w:rsidR="006524BF">
        <w:rPr>
          <w:rFonts w:asciiTheme="minorHAnsi" w:hAnsiTheme="minorHAnsi"/>
        </w:rPr>
        <w:t>proportion would be 2.00%. A</w:t>
      </w:r>
      <w:r w:rsidR="00347976">
        <w:rPr>
          <w:rFonts w:asciiTheme="minorHAnsi" w:hAnsiTheme="minorHAnsi"/>
        </w:rPr>
        <w:t>t times, the TEAS data differed slightly from total applicant/admission figures provided by the institution. In these cases, insti</w:t>
      </w:r>
      <w:r w:rsidR="00EF5FEC">
        <w:rPr>
          <w:rFonts w:asciiTheme="minorHAnsi" w:hAnsiTheme="minorHAnsi"/>
        </w:rPr>
        <w:t xml:space="preserve">tutional data were used instead, as most of the calculated proportions </w:t>
      </w:r>
      <w:r w:rsidR="0001453D">
        <w:rPr>
          <w:rFonts w:asciiTheme="minorHAnsi" w:hAnsiTheme="minorHAnsi"/>
        </w:rPr>
        <w:t>draw on institutional data for self-identification rates from those confirmation pools. Importantly, such differences were often minor (such as 12 more applications in an applicant pool of 1,000).</w:t>
      </w:r>
      <w:r w:rsidR="00D91E9A">
        <w:rPr>
          <w:rFonts w:asciiTheme="minorHAnsi" w:hAnsiTheme="minorHAnsi"/>
        </w:rPr>
        <w:t xml:space="preserve"> </w:t>
      </w:r>
    </w:p>
    <w:p w14:paraId="7B1D426D" w14:textId="77777777" w:rsidR="009D2ABE" w:rsidRDefault="009D2ABE" w:rsidP="0074138F">
      <w:pPr>
        <w:pStyle w:val="NoSpacing"/>
        <w:spacing w:line="480" w:lineRule="auto"/>
        <w:rPr>
          <w:rFonts w:asciiTheme="minorHAnsi" w:hAnsiTheme="minorHAnsi"/>
          <w:b/>
        </w:rPr>
      </w:pPr>
      <w:r>
        <w:rPr>
          <w:rFonts w:asciiTheme="minorHAnsi" w:hAnsiTheme="minorHAnsi"/>
          <w:b/>
        </w:rPr>
        <w:t>Assumptions and Limitations</w:t>
      </w:r>
    </w:p>
    <w:p w14:paraId="69A072EF" w14:textId="187CDF85" w:rsidR="000E664A" w:rsidRDefault="009D2ABE" w:rsidP="0074138F">
      <w:pPr>
        <w:pStyle w:val="NoSpacing"/>
        <w:spacing w:line="480" w:lineRule="auto"/>
        <w:rPr>
          <w:rFonts w:asciiTheme="minorHAnsi" w:hAnsiTheme="minorHAnsi"/>
        </w:rPr>
      </w:pPr>
      <w:r>
        <w:rPr>
          <w:rFonts w:asciiTheme="minorHAnsi" w:hAnsiTheme="minorHAnsi"/>
        </w:rPr>
        <w:tab/>
      </w:r>
      <w:r w:rsidR="000E664A">
        <w:rPr>
          <w:rFonts w:asciiTheme="minorHAnsi" w:hAnsiTheme="minorHAnsi"/>
        </w:rPr>
        <w:t xml:space="preserve">As with all studies, this paper includes </w:t>
      </w:r>
      <w:proofErr w:type="gramStart"/>
      <w:r w:rsidR="000E664A">
        <w:rPr>
          <w:rFonts w:asciiTheme="minorHAnsi" w:hAnsiTheme="minorHAnsi"/>
        </w:rPr>
        <w:t>a number of</w:t>
      </w:r>
      <w:proofErr w:type="gramEnd"/>
      <w:r w:rsidR="000E664A">
        <w:rPr>
          <w:rFonts w:asciiTheme="minorHAnsi" w:hAnsiTheme="minorHAnsi"/>
        </w:rPr>
        <w:t xml:space="preserve"> assumptions and limitations. </w:t>
      </w:r>
      <w:r w:rsidR="00F47D9F">
        <w:rPr>
          <w:rFonts w:asciiTheme="minorHAnsi" w:hAnsiTheme="minorHAnsi"/>
        </w:rPr>
        <w:t xml:space="preserve">We assume, for example, that the teaching population does not reflect the diversity of the teaching force (Childs &amp; Ferguson, 2016), and that </w:t>
      </w:r>
      <w:r w:rsidR="00F47D9F">
        <w:rPr>
          <w:rFonts w:asciiTheme="minorHAnsi" w:hAnsiTheme="minorHAnsi"/>
        </w:rPr>
        <w:t xml:space="preserve">ensuring equitable representation benefits teacher education, our students, and the students they will one day teach (Bowen &amp; Bok, 1998; DeLuca, </w:t>
      </w:r>
      <w:r w:rsidR="00F47D9F">
        <w:rPr>
          <w:rFonts w:asciiTheme="minorHAnsi" w:hAnsiTheme="minorHAnsi"/>
        </w:rPr>
        <w:lastRenderedPageBreak/>
        <w:t>2015).</w:t>
      </w:r>
      <w:r w:rsidR="00F47D9F">
        <w:rPr>
          <w:rFonts w:asciiTheme="minorHAnsi" w:hAnsiTheme="minorHAnsi"/>
        </w:rPr>
        <w:t xml:space="preserve"> This study’s methodology is also rooted in the belief that teacher education programs are largely responsible for teacher quality (Goodwin &amp; </w:t>
      </w:r>
      <w:proofErr w:type="spellStart"/>
      <w:r w:rsidR="00F47D9F">
        <w:rPr>
          <w:rFonts w:asciiTheme="minorHAnsi" w:hAnsiTheme="minorHAnsi"/>
        </w:rPr>
        <w:t>Oyler</w:t>
      </w:r>
      <w:proofErr w:type="spellEnd"/>
      <w:r w:rsidR="00F47D9F">
        <w:rPr>
          <w:rFonts w:asciiTheme="minorHAnsi" w:hAnsiTheme="minorHAnsi"/>
        </w:rPr>
        <w:t xml:space="preserve">, 2008), and that </w:t>
      </w:r>
      <w:r w:rsidR="00F47D9F" w:rsidRPr="00CE57BE">
        <w:rPr>
          <w:rFonts w:asciiTheme="minorHAnsi" w:hAnsiTheme="minorHAnsi"/>
        </w:rPr>
        <w:t>admissions practices are a significant process for determining how qualified candidates are admitted to a program (</w:t>
      </w:r>
      <w:proofErr w:type="spellStart"/>
      <w:r w:rsidR="00F47D9F" w:rsidRPr="00CE57BE">
        <w:rPr>
          <w:rFonts w:asciiTheme="minorHAnsi" w:hAnsiTheme="minorHAnsi"/>
        </w:rPr>
        <w:t>Denner</w:t>
      </w:r>
      <w:proofErr w:type="spellEnd"/>
      <w:r w:rsidR="00F47D9F" w:rsidRPr="00CE57BE">
        <w:rPr>
          <w:rFonts w:asciiTheme="minorHAnsi" w:hAnsiTheme="minorHAnsi"/>
        </w:rPr>
        <w:t xml:space="preserve"> et al., 2001). In gathering data from </w:t>
      </w:r>
      <w:r w:rsidR="00F47D9F">
        <w:rPr>
          <w:rFonts w:asciiTheme="minorHAnsi" w:hAnsiTheme="minorHAnsi"/>
        </w:rPr>
        <w:t xml:space="preserve">each university, </w:t>
      </w:r>
      <w:r w:rsidR="00F47D9F" w:rsidRPr="00CE57BE">
        <w:rPr>
          <w:rFonts w:asciiTheme="minorHAnsi" w:hAnsiTheme="minorHAnsi"/>
        </w:rPr>
        <w:t xml:space="preserve">we assume that these sources </w:t>
      </w:r>
      <w:proofErr w:type="gramStart"/>
      <w:r w:rsidR="00F47D9F" w:rsidRPr="00CE57BE">
        <w:rPr>
          <w:rFonts w:asciiTheme="minorHAnsi" w:hAnsiTheme="minorHAnsi"/>
        </w:rPr>
        <w:t>are able to</w:t>
      </w:r>
      <w:proofErr w:type="gramEnd"/>
      <w:r w:rsidR="00F47D9F" w:rsidRPr="00CE57BE">
        <w:rPr>
          <w:rFonts w:asciiTheme="minorHAnsi" w:hAnsiTheme="minorHAnsi"/>
        </w:rPr>
        <w:t xml:space="preserve"> provide accurate information. That is, given their positions as deans, program directors, registrars, or other internal stakeholders, we assume that our participants </w:t>
      </w:r>
      <w:r w:rsidR="00F47D9F">
        <w:rPr>
          <w:rFonts w:asciiTheme="minorHAnsi" w:hAnsiTheme="minorHAnsi"/>
        </w:rPr>
        <w:t>have</w:t>
      </w:r>
      <w:r w:rsidR="00F0725A">
        <w:rPr>
          <w:rFonts w:asciiTheme="minorHAnsi" w:hAnsiTheme="minorHAnsi"/>
        </w:rPr>
        <w:t xml:space="preserve"> pr</w:t>
      </w:r>
      <w:r w:rsidR="001331D5">
        <w:rPr>
          <w:rFonts w:asciiTheme="minorHAnsi" w:hAnsiTheme="minorHAnsi"/>
        </w:rPr>
        <w:t xml:space="preserve">ovided truthful data based on the information that they have access to through their institution. </w:t>
      </w:r>
      <w:r w:rsidR="001331D5">
        <w:rPr>
          <w:rFonts w:asciiTheme="minorHAnsi" w:hAnsiTheme="minorHAnsi"/>
        </w:rPr>
        <w:t xml:space="preserve">We assume, finally, that by providing multiple stages of clarification for our participants, that the resulting data forms </w:t>
      </w:r>
      <w:r w:rsidR="001331D5">
        <w:rPr>
          <w:rFonts w:asciiTheme="minorHAnsi" w:hAnsiTheme="minorHAnsi"/>
        </w:rPr>
        <w:t xml:space="preserve">a </w:t>
      </w:r>
      <w:r w:rsidR="009B6345">
        <w:rPr>
          <w:rFonts w:asciiTheme="minorHAnsi" w:hAnsiTheme="minorHAnsi"/>
        </w:rPr>
        <w:t>clearer</w:t>
      </w:r>
      <w:r w:rsidR="001331D5">
        <w:rPr>
          <w:rFonts w:asciiTheme="minorHAnsi" w:hAnsiTheme="minorHAnsi"/>
        </w:rPr>
        <w:t xml:space="preserve"> picture of access and equity in Ontario teacher education.</w:t>
      </w:r>
    </w:p>
    <w:p w14:paraId="2C309FE1" w14:textId="22383B24" w:rsidR="00CA21B9" w:rsidRDefault="00CA21B9" w:rsidP="0074138F">
      <w:pPr>
        <w:pStyle w:val="NoSpacing"/>
        <w:spacing w:line="480" w:lineRule="auto"/>
        <w:ind w:firstLine="720"/>
        <w:rPr>
          <w:rFonts w:asciiTheme="minorHAnsi" w:hAnsiTheme="minorHAnsi"/>
        </w:rPr>
      </w:pPr>
      <w:r w:rsidRPr="0092193C">
        <w:rPr>
          <w:rFonts w:asciiTheme="minorHAnsi" w:hAnsiTheme="minorHAnsi"/>
        </w:rPr>
        <w:t>These assumptions lead necessarily to the study’s limitations</w:t>
      </w:r>
      <w:r>
        <w:rPr>
          <w:rFonts w:asciiTheme="minorHAnsi" w:hAnsiTheme="minorHAnsi"/>
        </w:rPr>
        <w:t xml:space="preserve">. This study only includes data from 13 teacher education programs in Ontario, and is not designed to generalize to all teacher education programs (Cochran-Smith &amp; </w:t>
      </w:r>
      <w:proofErr w:type="spellStart"/>
      <w:r>
        <w:rPr>
          <w:rFonts w:asciiTheme="minorHAnsi" w:hAnsiTheme="minorHAnsi"/>
        </w:rPr>
        <w:t>Zeichner</w:t>
      </w:r>
      <w:proofErr w:type="spellEnd"/>
      <w:r>
        <w:rPr>
          <w:rFonts w:asciiTheme="minorHAnsi" w:hAnsiTheme="minorHAnsi"/>
        </w:rPr>
        <w:t xml:space="preserve">, 2005). </w:t>
      </w:r>
      <w:r w:rsidR="001E0FE2">
        <w:rPr>
          <w:rFonts w:asciiTheme="minorHAnsi" w:hAnsiTheme="minorHAnsi"/>
        </w:rPr>
        <w:t xml:space="preserve">These descriptive statistics do not explain why particular groups are underrepresented (Finnie et al., 2011b), but instead </w:t>
      </w:r>
      <w:r w:rsidR="00EE28BB">
        <w:rPr>
          <w:rFonts w:asciiTheme="minorHAnsi" w:hAnsiTheme="minorHAnsi"/>
        </w:rPr>
        <w:t xml:space="preserve">present a picture of which groups are underrepresented in different programs. </w:t>
      </w:r>
      <w:r w:rsidR="002B3BD1">
        <w:rPr>
          <w:rFonts w:asciiTheme="minorHAnsi" w:hAnsiTheme="minorHAnsi"/>
        </w:rPr>
        <w:t xml:space="preserve">Most importantly, these data reflect the number of students who choose to self-identify to these institutions. </w:t>
      </w:r>
      <w:r w:rsidR="006243A4">
        <w:rPr>
          <w:rFonts w:asciiTheme="minorHAnsi" w:hAnsiTheme="minorHAnsi"/>
        </w:rPr>
        <w:t xml:space="preserve">Applicants decide to self-identify (or not) within the context of admissions, using tools that are different at each institution (Holden et al., 2016), </w:t>
      </w:r>
      <w:r w:rsidR="00D46AFC">
        <w:rPr>
          <w:rFonts w:asciiTheme="minorHAnsi" w:hAnsiTheme="minorHAnsi"/>
        </w:rPr>
        <w:t>within categories that may not fully captur</w:t>
      </w:r>
      <w:r w:rsidR="00984DF7">
        <w:rPr>
          <w:rFonts w:asciiTheme="minorHAnsi" w:hAnsiTheme="minorHAnsi"/>
        </w:rPr>
        <w:t xml:space="preserve">e their identities. </w:t>
      </w:r>
      <w:r w:rsidR="002B3BD1">
        <w:rPr>
          <w:rFonts w:asciiTheme="minorHAnsi" w:hAnsiTheme="minorHAnsi"/>
        </w:rPr>
        <w:t xml:space="preserve">As Stead (2015) notes, stakeholders should exercise caution </w:t>
      </w:r>
      <w:r w:rsidR="002B3BD1">
        <w:rPr>
          <w:rFonts w:asciiTheme="minorHAnsi" w:hAnsiTheme="minorHAnsi"/>
        </w:rPr>
        <w:t>in examining this data, “because the percentages of identified minorities within the total candidate pool might only be estimates given that some candidates prefer not to sustain the risks associated with minority affiliation” (p. 327).</w:t>
      </w:r>
      <w:r w:rsidR="002B3BD1" w:rsidRPr="002B3BD1">
        <w:rPr>
          <w:rFonts w:asciiTheme="minorHAnsi" w:hAnsiTheme="minorHAnsi"/>
        </w:rPr>
        <w:t xml:space="preserve"> </w:t>
      </w:r>
      <w:r w:rsidR="00337833">
        <w:rPr>
          <w:rFonts w:asciiTheme="minorHAnsi" w:hAnsiTheme="minorHAnsi"/>
        </w:rPr>
        <w:t>Thus, w</w:t>
      </w:r>
      <w:r w:rsidR="000D095A">
        <w:rPr>
          <w:rFonts w:asciiTheme="minorHAnsi" w:hAnsiTheme="minorHAnsi"/>
        </w:rPr>
        <w:t xml:space="preserve">hile </w:t>
      </w:r>
      <w:r w:rsidR="0036335C">
        <w:rPr>
          <w:rFonts w:asciiTheme="minorHAnsi" w:hAnsiTheme="minorHAnsi"/>
        </w:rPr>
        <w:t xml:space="preserve">examining rates of participation is </w:t>
      </w:r>
      <w:r w:rsidR="0036335C">
        <w:rPr>
          <w:rFonts w:asciiTheme="minorHAnsi" w:hAnsiTheme="minorHAnsi"/>
        </w:rPr>
        <w:lastRenderedPageBreak/>
        <w:t xml:space="preserve">important, we must also continue to examine </w:t>
      </w:r>
      <w:r w:rsidR="00644E28">
        <w:rPr>
          <w:rFonts w:asciiTheme="minorHAnsi" w:hAnsiTheme="minorHAnsi"/>
        </w:rPr>
        <w:t xml:space="preserve">how these measures might be </w:t>
      </w:r>
      <w:r w:rsidR="00DF7D40">
        <w:rPr>
          <w:rFonts w:asciiTheme="minorHAnsi" w:hAnsiTheme="minorHAnsi"/>
        </w:rPr>
        <w:t>strengthened</w:t>
      </w:r>
      <w:r w:rsidR="009A2EC7">
        <w:rPr>
          <w:rFonts w:asciiTheme="minorHAnsi" w:hAnsiTheme="minorHAnsi"/>
        </w:rPr>
        <w:t xml:space="preserve"> (see Thomson et al., 2011).</w:t>
      </w:r>
      <w:r w:rsidR="0073526E">
        <w:rPr>
          <w:rFonts w:asciiTheme="minorHAnsi" w:hAnsiTheme="minorHAnsi"/>
        </w:rPr>
        <w:t xml:space="preserve"> </w:t>
      </w:r>
    </w:p>
    <w:p w14:paraId="6B42B758" w14:textId="2C8A4CA8" w:rsidR="00A47198" w:rsidRDefault="00A1635A" w:rsidP="0074138F">
      <w:pPr>
        <w:pStyle w:val="NoSpacing"/>
        <w:spacing w:line="480" w:lineRule="auto"/>
        <w:jc w:val="center"/>
        <w:rPr>
          <w:rFonts w:asciiTheme="minorHAnsi" w:hAnsiTheme="minorHAnsi"/>
          <w:b/>
        </w:rPr>
      </w:pPr>
      <w:r>
        <w:rPr>
          <w:rFonts w:asciiTheme="minorHAnsi" w:hAnsiTheme="minorHAnsi"/>
          <w:b/>
        </w:rPr>
        <w:t>Results and Discussion</w:t>
      </w:r>
    </w:p>
    <w:p w14:paraId="217F0652" w14:textId="1403809B" w:rsidR="00FC1B50" w:rsidRPr="00FC1B50" w:rsidRDefault="00FD4AA2" w:rsidP="0074138F">
      <w:pPr>
        <w:pStyle w:val="NoSpacing"/>
        <w:spacing w:line="480" w:lineRule="auto"/>
        <w:rPr>
          <w:rFonts w:asciiTheme="minorHAnsi" w:hAnsiTheme="minorHAnsi"/>
        </w:rPr>
      </w:pPr>
      <w:r>
        <w:rPr>
          <w:rFonts w:asciiTheme="minorHAnsi" w:hAnsiTheme="minorHAnsi"/>
        </w:rPr>
        <w:tab/>
      </w:r>
      <w:r w:rsidR="00323A76">
        <w:rPr>
          <w:rFonts w:asciiTheme="minorHAnsi" w:hAnsiTheme="minorHAnsi"/>
        </w:rPr>
        <w:t xml:space="preserve">The </w:t>
      </w:r>
      <w:r w:rsidR="009D22B7">
        <w:rPr>
          <w:rFonts w:asciiTheme="minorHAnsi" w:hAnsiTheme="minorHAnsi"/>
        </w:rPr>
        <w:t>results</w:t>
      </w:r>
      <w:r w:rsidR="00323A76">
        <w:rPr>
          <w:rFonts w:asciiTheme="minorHAnsi" w:hAnsiTheme="minorHAnsi"/>
        </w:rPr>
        <w:t xml:space="preserve"> in this section – provided by our colleagues from across the province – are meant to provide baseline data on the state of equitable representation in Ontario. </w:t>
      </w:r>
      <w:r w:rsidR="006F4BE4">
        <w:rPr>
          <w:rFonts w:asciiTheme="minorHAnsi" w:hAnsiTheme="minorHAnsi"/>
        </w:rPr>
        <w:t xml:space="preserve">We have arranged the most pertinent data into </w:t>
      </w:r>
      <w:r w:rsidR="00B72109">
        <w:rPr>
          <w:rFonts w:asciiTheme="minorHAnsi" w:hAnsiTheme="minorHAnsi"/>
        </w:rPr>
        <w:t>four</w:t>
      </w:r>
      <w:r w:rsidR="006F4BE4">
        <w:rPr>
          <w:rFonts w:asciiTheme="minorHAnsi" w:hAnsiTheme="minorHAnsi"/>
        </w:rPr>
        <w:t xml:space="preserve"> tables. These tables identify the proportion of students who self</w:t>
      </w:r>
      <w:r w:rsidR="00931C86">
        <w:rPr>
          <w:rFonts w:asciiTheme="minorHAnsi" w:hAnsiTheme="minorHAnsi"/>
        </w:rPr>
        <w:t xml:space="preserve">-identify with a specific group at two phases: during application, and once students accept their offers of admission and enter the program. </w:t>
      </w:r>
      <w:r w:rsidR="00ED01E6">
        <w:rPr>
          <w:rFonts w:asciiTheme="minorHAnsi" w:hAnsiTheme="minorHAnsi"/>
        </w:rPr>
        <w:t xml:space="preserve">Applicant proportions, which form the top half of each table, represent the percentage of the applicant pool that self-identified with that underrepresented group. Acceptance proportions, which form the bottom half of each table, represent the percentage of students entering a program who self-identify with the same group. </w:t>
      </w:r>
      <w:r w:rsidR="000A3C39">
        <w:rPr>
          <w:rFonts w:asciiTheme="minorHAnsi" w:hAnsiTheme="minorHAnsi"/>
        </w:rPr>
        <w:t xml:space="preserve">The tables therefore allow for comparison between the proportion of applicants who identify with a group, and the proportion that group represents in the pool of students who ultimately enter the program. </w:t>
      </w:r>
      <w:r w:rsidR="001813A7">
        <w:rPr>
          <w:rFonts w:asciiTheme="minorHAnsi" w:hAnsiTheme="minorHAnsi"/>
        </w:rPr>
        <w:t xml:space="preserve">The presented tables include proportions for the most commonly tracked underrepresented groups in </w:t>
      </w:r>
      <w:r w:rsidR="00622393">
        <w:rPr>
          <w:rFonts w:asciiTheme="minorHAnsi" w:hAnsiTheme="minorHAnsi"/>
        </w:rPr>
        <w:t>Ontario</w:t>
      </w:r>
      <w:r w:rsidR="001813A7">
        <w:rPr>
          <w:rFonts w:asciiTheme="minorHAnsi" w:hAnsiTheme="minorHAnsi"/>
        </w:rPr>
        <w:t xml:space="preserve">, with data from the five most recent academic years for each </w:t>
      </w:r>
      <w:r w:rsidR="001B6435">
        <w:rPr>
          <w:rFonts w:asciiTheme="minorHAnsi" w:hAnsiTheme="minorHAnsi"/>
        </w:rPr>
        <w:t xml:space="preserve">university that </w:t>
      </w:r>
      <w:r w:rsidR="007C55CD">
        <w:rPr>
          <w:rFonts w:asciiTheme="minorHAnsi" w:hAnsiTheme="minorHAnsi"/>
        </w:rPr>
        <w:t xml:space="preserve">actively collects data on </w:t>
      </w:r>
      <w:r w:rsidR="00A01D12">
        <w:rPr>
          <w:rFonts w:asciiTheme="minorHAnsi" w:hAnsiTheme="minorHAnsi"/>
        </w:rPr>
        <w:t>each</w:t>
      </w:r>
      <w:r w:rsidR="007C55CD">
        <w:rPr>
          <w:rFonts w:asciiTheme="minorHAnsi" w:hAnsiTheme="minorHAnsi"/>
        </w:rPr>
        <w:t xml:space="preserve"> group. </w:t>
      </w:r>
      <w:r w:rsidR="000617BB">
        <w:rPr>
          <w:rFonts w:asciiTheme="minorHAnsi" w:hAnsiTheme="minorHAnsi"/>
        </w:rPr>
        <w:t>Additional data, including raw data for each institution</w:t>
      </w:r>
      <w:r w:rsidR="000A3C39">
        <w:rPr>
          <w:rFonts w:asciiTheme="minorHAnsi" w:hAnsiTheme="minorHAnsi"/>
        </w:rPr>
        <w:t xml:space="preserve"> as well as the number of students who receive and accept their offers of admission</w:t>
      </w:r>
      <w:r w:rsidR="000617BB">
        <w:rPr>
          <w:rFonts w:asciiTheme="minorHAnsi" w:hAnsiTheme="minorHAnsi"/>
        </w:rPr>
        <w:t xml:space="preserve">, are available in the full report that this study is based on (see </w:t>
      </w:r>
      <w:r w:rsidR="00090ACF">
        <w:rPr>
          <w:rFonts w:asciiTheme="minorHAnsi" w:hAnsiTheme="minorHAnsi"/>
        </w:rPr>
        <w:t>Holden &amp; Kitchen, 2017</w:t>
      </w:r>
      <w:r w:rsidR="000617BB">
        <w:rPr>
          <w:rFonts w:asciiTheme="minorHAnsi" w:hAnsiTheme="minorHAnsi"/>
        </w:rPr>
        <w:t>).</w:t>
      </w:r>
    </w:p>
    <w:p w14:paraId="21224BB6" w14:textId="77777777" w:rsidR="00B72109" w:rsidRDefault="00B72109" w:rsidP="0074138F">
      <w:pPr>
        <w:pStyle w:val="NoSpacing"/>
        <w:spacing w:line="480" w:lineRule="auto"/>
        <w:rPr>
          <w:rFonts w:asciiTheme="minorHAnsi" w:hAnsiTheme="minorHAnsi"/>
          <w:b/>
        </w:rPr>
      </w:pPr>
      <w:r>
        <w:rPr>
          <w:rFonts w:asciiTheme="minorHAnsi" w:hAnsiTheme="minorHAnsi"/>
          <w:b/>
        </w:rPr>
        <w:t>Students of Aboriginal Descent</w:t>
      </w:r>
    </w:p>
    <w:p w14:paraId="1436520C" w14:textId="77777777" w:rsidR="0074138F" w:rsidRDefault="00152104" w:rsidP="0074138F">
      <w:pPr>
        <w:pStyle w:val="NoSpacing"/>
        <w:spacing w:line="480" w:lineRule="auto"/>
        <w:rPr>
          <w:rFonts w:asciiTheme="minorHAnsi" w:hAnsiTheme="minorHAnsi"/>
        </w:rPr>
      </w:pPr>
      <w:r>
        <w:rPr>
          <w:rFonts w:asciiTheme="minorHAnsi" w:hAnsiTheme="minorHAnsi"/>
        </w:rPr>
        <w:tab/>
      </w:r>
      <w:r w:rsidR="0065433D">
        <w:rPr>
          <w:rFonts w:asciiTheme="minorHAnsi" w:hAnsiTheme="minorHAnsi"/>
        </w:rPr>
        <w:t xml:space="preserve">Students of Aboriginal descent, including First Nations, Métis, and Inuit applicants, are the most tracked underrepresented group in Ontario teacher education. </w:t>
      </w:r>
      <w:r w:rsidR="00591527">
        <w:rPr>
          <w:rFonts w:asciiTheme="minorHAnsi" w:hAnsiTheme="minorHAnsi"/>
        </w:rPr>
        <w:t xml:space="preserve">Every participating </w:t>
      </w:r>
      <w:r w:rsidR="00591527">
        <w:rPr>
          <w:rFonts w:asciiTheme="minorHAnsi" w:hAnsiTheme="minorHAnsi"/>
        </w:rPr>
        <w:lastRenderedPageBreak/>
        <w:t xml:space="preserve">university that tracks data for underrepresented groups allows students to self-identify as Aboriginal, and all but one of these universities actively tracks the rate of representation for Aboriginal students in their programs. </w:t>
      </w:r>
      <w:r w:rsidR="000733FD">
        <w:rPr>
          <w:rFonts w:asciiTheme="minorHAnsi" w:hAnsiTheme="minorHAnsi"/>
        </w:rPr>
        <w:t xml:space="preserve">While </w:t>
      </w:r>
      <w:r w:rsidR="00825AC1">
        <w:rPr>
          <w:rFonts w:asciiTheme="minorHAnsi" w:hAnsiTheme="minorHAnsi"/>
        </w:rPr>
        <w:t xml:space="preserve">the </w:t>
      </w:r>
      <w:r w:rsidR="00D53570">
        <w:rPr>
          <w:rFonts w:asciiTheme="minorHAnsi" w:hAnsiTheme="minorHAnsi"/>
        </w:rPr>
        <w:t xml:space="preserve">number of universities measuring Aboriginal admission rates is promising, some </w:t>
      </w:r>
      <w:r w:rsidR="00A16544">
        <w:rPr>
          <w:rFonts w:asciiTheme="minorHAnsi" w:hAnsiTheme="minorHAnsi"/>
        </w:rPr>
        <w:t>results are not</w:t>
      </w:r>
      <w:r w:rsidR="00D53570">
        <w:rPr>
          <w:rFonts w:asciiTheme="minorHAnsi" w:hAnsiTheme="minorHAnsi"/>
        </w:rPr>
        <w:t xml:space="preserve">. </w:t>
      </w:r>
      <w:r w:rsidR="00932D7D">
        <w:rPr>
          <w:rFonts w:asciiTheme="minorHAnsi" w:hAnsiTheme="minorHAnsi"/>
        </w:rPr>
        <w:t xml:space="preserve">As illustrated in Table </w:t>
      </w:r>
      <w:r w:rsidR="00FC1B50">
        <w:rPr>
          <w:rFonts w:asciiTheme="minorHAnsi" w:hAnsiTheme="minorHAnsi"/>
        </w:rPr>
        <w:t>1</w:t>
      </w:r>
      <w:r w:rsidR="00932D7D">
        <w:rPr>
          <w:rFonts w:asciiTheme="minorHAnsi" w:hAnsiTheme="minorHAnsi"/>
        </w:rPr>
        <w:t xml:space="preserve">, no university has reported an Aboriginal proportion above 4.51% in the past five years. </w:t>
      </w:r>
      <w:r w:rsidR="00EA1ECA">
        <w:rPr>
          <w:rFonts w:asciiTheme="minorHAnsi" w:hAnsiTheme="minorHAnsi"/>
        </w:rPr>
        <w:t xml:space="preserve">Further, most universities reported proportions lower than the Aboriginal share of the population in Ontario </w:t>
      </w:r>
      <w:r w:rsidR="0074138F">
        <w:rPr>
          <w:rFonts w:asciiTheme="minorHAnsi" w:hAnsiTheme="minorHAnsi"/>
        </w:rPr>
        <w:t>(2.3%, MNWGE, 2002). Some universities also reported proportions lower than, or close to, the Aboriginal share of Ontario’s teaching force (0.5%, MNWGE, 2002). This means that many universities do not have enough self-identifying Aboriginal teacher candidates to keep pace with the Aboriginal population, or to improve Aboriginal rates of representation among the teaching population.</w:t>
      </w:r>
    </w:p>
    <w:p w14:paraId="02F65AB3" w14:textId="77777777" w:rsidR="0074138F" w:rsidRDefault="0074138F" w:rsidP="0074138F">
      <w:pPr>
        <w:pStyle w:val="NoSpacing"/>
        <w:spacing w:line="480" w:lineRule="auto"/>
        <w:ind w:firstLine="720"/>
        <w:rPr>
          <w:rFonts w:asciiTheme="minorHAnsi" w:hAnsiTheme="minorHAnsi"/>
        </w:rPr>
      </w:pPr>
      <w:r>
        <w:rPr>
          <w:rFonts w:asciiTheme="minorHAnsi" w:hAnsiTheme="minorHAnsi"/>
        </w:rPr>
        <w:t>Importantly, several universities have reported positive rates of representation that contrast with the low overall rate of Aboriginal representation. Lakehead University, for example, reports rates of representation that are consistently higher than the Aboriginal share of the population in Ontario and Canada. Similarly, representation has increased at Queen’s since the shift to the four-semester program. Trent’s rate of representation, which was already among the highest under the two-semester program, has also increased, particularly in the proportion of applicants who self-identify as Aboriginal. Ottawa has also reported an increased rate of representation: while no students who enrolled in 2013 identified as Aboriginal, Ottawa’s rate of Aboriginal representation now exceeds both Nipissing and York.</w:t>
      </w:r>
    </w:p>
    <w:p w14:paraId="0D2E43FE" w14:textId="17CD2F26" w:rsidR="005A1476" w:rsidRDefault="0074138F" w:rsidP="0074138F">
      <w:pPr>
        <w:pStyle w:val="NoSpacing"/>
        <w:spacing w:line="480" w:lineRule="auto"/>
        <w:ind w:firstLine="720"/>
        <w:rPr>
          <w:rFonts w:asciiTheme="minorHAnsi" w:hAnsiTheme="minorHAnsi"/>
        </w:rPr>
      </w:pPr>
      <w:r>
        <w:rPr>
          <w:rFonts w:asciiTheme="minorHAnsi" w:hAnsiTheme="minorHAnsi"/>
        </w:rPr>
        <w:t xml:space="preserve">As with all admissions data, the stories behind these figures are complex. York, for example, has </w:t>
      </w:r>
      <w:proofErr w:type="gramStart"/>
      <w:r>
        <w:rPr>
          <w:rFonts w:asciiTheme="minorHAnsi" w:hAnsiTheme="minorHAnsi"/>
        </w:rPr>
        <w:t>offered admission</w:t>
      </w:r>
      <w:proofErr w:type="gramEnd"/>
      <w:r>
        <w:rPr>
          <w:rFonts w:asciiTheme="minorHAnsi" w:hAnsiTheme="minorHAnsi"/>
        </w:rPr>
        <w:t xml:space="preserve"> to proportionally more Aboriginal students each year, yet the </w:t>
      </w:r>
      <w:r w:rsidR="005A1476">
        <w:rPr>
          <w:rFonts w:asciiTheme="minorHAnsi" w:hAnsiTheme="minorHAnsi"/>
        </w:rPr>
        <w:br w:type="page"/>
      </w:r>
    </w:p>
    <w:p w14:paraId="42F31D72" w14:textId="77777777" w:rsidR="00D921A0" w:rsidRDefault="00D921A0" w:rsidP="00D921A0">
      <w:pPr>
        <w:pStyle w:val="NoSpacing"/>
        <w:rPr>
          <w:rFonts w:asciiTheme="minorHAnsi" w:hAnsiTheme="minorHAnsi"/>
        </w:rPr>
      </w:pPr>
      <w:r>
        <w:rPr>
          <w:rFonts w:asciiTheme="minorHAnsi" w:hAnsiTheme="minorHAnsi"/>
        </w:rPr>
        <w:lastRenderedPageBreak/>
        <w:t xml:space="preserve">Table </w:t>
      </w:r>
      <w:r w:rsidR="00FC1B50">
        <w:rPr>
          <w:rFonts w:asciiTheme="minorHAnsi" w:hAnsiTheme="minorHAnsi"/>
        </w:rPr>
        <w:t>1</w:t>
      </w:r>
    </w:p>
    <w:p w14:paraId="03BD84C5" w14:textId="77777777" w:rsidR="00D921A0" w:rsidRDefault="00D921A0" w:rsidP="00D921A0">
      <w:pPr>
        <w:pStyle w:val="NoSpacing"/>
        <w:rPr>
          <w:rFonts w:asciiTheme="minorHAnsi" w:hAnsiTheme="minorHAnsi"/>
        </w:rPr>
      </w:pPr>
    </w:p>
    <w:tbl>
      <w:tblPr>
        <w:tblStyle w:val="TableGrid"/>
        <w:tblW w:w="10980" w:type="dxa"/>
        <w:tblInd w:w="-810" w:type="dxa"/>
        <w:tblLook w:val="04A0" w:firstRow="1" w:lastRow="0" w:firstColumn="1" w:lastColumn="0" w:noHBand="0" w:noVBand="1"/>
      </w:tblPr>
      <w:tblGrid>
        <w:gridCol w:w="703"/>
        <w:gridCol w:w="1366"/>
        <w:gridCol w:w="1361"/>
        <w:gridCol w:w="1150"/>
        <w:gridCol w:w="1445"/>
        <w:gridCol w:w="1361"/>
        <w:gridCol w:w="1264"/>
        <w:gridCol w:w="938"/>
        <w:gridCol w:w="1392"/>
      </w:tblGrid>
      <w:tr w:rsidR="00D921A0" w14:paraId="3F2EAEBB" w14:textId="77777777" w:rsidTr="007F37C2">
        <w:tc>
          <w:tcPr>
            <w:tcW w:w="10980" w:type="dxa"/>
            <w:gridSpan w:val="9"/>
            <w:tcBorders>
              <w:top w:val="nil"/>
              <w:left w:val="nil"/>
              <w:right w:val="nil"/>
            </w:tcBorders>
          </w:tcPr>
          <w:p w14:paraId="189B31B1" w14:textId="77777777" w:rsidR="00D921A0" w:rsidRDefault="00D921A0" w:rsidP="007F37C2">
            <w:pPr>
              <w:pStyle w:val="NoSpacing"/>
              <w:rPr>
                <w:rFonts w:asciiTheme="minorHAnsi" w:hAnsiTheme="minorHAnsi"/>
                <w:i/>
              </w:rPr>
            </w:pPr>
            <w:r>
              <w:rPr>
                <w:rFonts w:asciiTheme="minorHAnsi" w:hAnsiTheme="minorHAnsi"/>
                <w:i/>
              </w:rPr>
              <w:t>Changes in the Proportion of Aboriginal Students by Institution</w:t>
            </w:r>
          </w:p>
          <w:p w14:paraId="14CE08A7" w14:textId="77777777" w:rsidR="00D921A0" w:rsidRDefault="00D921A0" w:rsidP="007F37C2">
            <w:pPr>
              <w:pStyle w:val="NoSpacing"/>
              <w:jc w:val="center"/>
              <w:rPr>
                <w:rFonts w:asciiTheme="minorHAnsi" w:hAnsiTheme="minorHAnsi"/>
              </w:rPr>
            </w:pPr>
          </w:p>
        </w:tc>
      </w:tr>
      <w:tr w:rsidR="00D921A0" w14:paraId="6FF7AA8E" w14:textId="77777777" w:rsidTr="007F37C2">
        <w:tc>
          <w:tcPr>
            <w:tcW w:w="10980" w:type="dxa"/>
            <w:gridSpan w:val="9"/>
            <w:tcBorders>
              <w:left w:val="nil"/>
              <w:bottom w:val="single" w:sz="4" w:space="0" w:color="auto"/>
              <w:right w:val="nil"/>
            </w:tcBorders>
          </w:tcPr>
          <w:p w14:paraId="7CF22162" w14:textId="77777777" w:rsidR="00D921A0" w:rsidRDefault="00D921A0" w:rsidP="007F37C2">
            <w:pPr>
              <w:pStyle w:val="NoSpacing"/>
              <w:jc w:val="center"/>
              <w:rPr>
                <w:rFonts w:asciiTheme="minorHAnsi" w:hAnsiTheme="minorHAnsi"/>
              </w:rPr>
            </w:pPr>
            <w:r>
              <w:rPr>
                <w:rFonts w:asciiTheme="minorHAnsi" w:hAnsiTheme="minorHAnsi"/>
              </w:rPr>
              <w:t>Of all Applicants (%)</w:t>
            </w:r>
          </w:p>
        </w:tc>
      </w:tr>
      <w:tr w:rsidR="00D921A0" w14:paraId="62C4F96A" w14:textId="77777777" w:rsidTr="007F37C2">
        <w:tc>
          <w:tcPr>
            <w:tcW w:w="703" w:type="dxa"/>
            <w:tcBorders>
              <w:left w:val="nil"/>
              <w:bottom w:val="nil"/>
              <w:right w:val="nil"/>
            </w:tcBorders>
            <w:vAlign w:val="center"/>
          </w:tcPr>
          <w:p w14:paraId="0B56F077" w14:textId="77777777" w:rsidR="00D921A0" w:rsidRPr="00DC3E7B" w:rsidRDefault="00D921A0" w:rsidP="007F37C2">
            <w:pPr>
              <w:pStyle w:val="NoSpacing"/>
              <w:jc w:val="center"/>
              <w:rPr>
                <w:rFonts w:asciiTheme="minorHAnsi" w:hAnsiTheme="minorHAnsi"/>
                <w:u w:val="single"/>
              </w:rPr>
            </w:pPr>
            <w:r w:rsidRPr="00DC3E7B">
              <w:rPr>
                <w:rFonts w:asciiTheme="minorHAnsi" w:hAnsiTheme="minorHAnsi"/>
                <w:u w:val="single"/>
              </w:rPr>
              <w:t>Year</w:t>
            </w:r>
          </w:p>
        </w:tc>
        <w:tc>
          <w:tcPr>
            <w:tcW w:w="1366" w:type="dxa"/>
            <w:tcBorders>
              <w:left w:val="nil"/>
              <w:bottom w:val="nil"/>
              <w:right w:val="nil"/>
            </w:tcBorders>
            <w:vAlign w:val="center"/>
          </w:tcPr>
          <w:p w14:paraId="2153C7D8" w14:textId="77777777" w:rsidR="00D921A0" w:rsidRPr="00FB54BE" w:rsidRDefault="00D921A0" w:rsidP="007F37C2">
            <w:pPr>
              <w:pStyle w:val="NoSpacing"/>
              <w:jc w:val="center"/>
              <w:rPr>
                <w:rFonts w:asciiTheme="minorHAnsi" w:hAnsiTheme="minorHAnsi"/>
                <w:u w:val="single"/>
              </w:rPr>
            </w:pPr>
            <w:r w:rsidRPr="00FB54BE">
              <w:rPr>
                <w:rFonts w:asciiTheme="minorHAnsi" w:hAnsiTheme="minorHAnsi"/>
                <w:u w:val="single"/>
              </w:rPr>
              <w:t>Lakehead</w:t>
            </w:r>
          </w:p>
        </w:tc>
        <w:tc>
          <w:tcPr>
            <w:tcW w:w="1361" w:type="dxa"/>
            <w:tcBorders>
              <w:left w:val="nil"/>
              <w:bottom w:val="nil"/>
              <w:right w:val="nil"/>
            </w:tcBorders>
            <w:vAlign w:val="center"/>
          </w:tcPr>
          <w:p w14:paraId="26266F4E" w14:textId="77777777" w:rsidR="00D921A0" w:rsidRPr="00FB54BE" w:rsidRDefault="00D921A0" w:rsidP="007F37C2">
            <w:pPr>
              <w:pStyle w:val="NoSpacing"/>
              <w:jc w:val="center"/>
              <w:rPr>
                <w:rFonts w:asciiTheme="minorHAnsi" w:hAnsiTheme="minorHAnsi"/>
                <w:u w:val="single"/>
              </w:rPr>
            </w:pPr>
            <w:r w:rsidRPr="00FB54BE">
              <w:rPr>
                <w:rFonts w:asciiTheme="minorHAnsi" w:hAnsiTheme="minorHAnsi"/>
                <w:u w:val="single"/>
              </w:rPr>
              <w:t>Laurentian</w:t>
            </w:r>
          </w:p>
        </w:tc>
        <w:tc>
          <w:tcPr>
            <w:tcW w:w="1150" w:type="dxa"/>
            <w:tcBorders>
              <w:left w:val="nil"/>
              <w:bottom w:val="nil"/>
              <w:right w:val="nil"/>
            </w:tcBorders>
            <w:vAlign w:val="center"/>
          </w:tcPr>
          <w:p w14:paraId="2B88C1E7" w14:textId="77777777" w:rsidR="00D921A0" w:rsidRPr="00FB54BE" w:rsidRDefault="00D921A0" w:rsidP="007F37C2">
            <w:pPr>
              <w:pStyle w:val="NoSpacing"/>
              <w:jc w:val="center"/>
              <w:rPr>
                <w:rFonts w:asciiTheme="minorHAnsi" w:hAnsiTheme="minorHAnsi"/>
                <w:u w:val="single"/>
              </w:rPr>
            </w:pPr>
            <w:r w:rsidRPr="00FB54BE">
              <w:rPr>
                <w:rFonts w:asciiTheme="minorHAnsi" w:hAnsiTheme="minorHAnsi"/>
                <w:u w:val="single"/>
              </w:rPr>
              <w:t>Nipissing</w:t>
            </w:r>
          </w:p>
        </w:tc>
        <w:tc>
          <w:tcPr>
            <w:tcW w:w="1439" w:type="dxa"/>
            <w:tcBorders>
              <w:left w:val="nil"/>
              <w:bottom w:val="nil"/>
              <w:right w:val="nil"/>
            </w:tcBorders>
            <w:vAlign w:val="center"/>
          </w:tcPr>
          <w:p w14:paraId="38838818" w14:textId="77777777" w:rsidR="00D921A0" w:rsidRPr="00FB54BE" w:rsidRDefault="00D921A0" w:rsidP="007F37C2">
            <w:pPr>
              <w:pStyle w:val="NoSpacing"/>
              <w:jc w:val="center"/>
              <w:rPr>
                <w:rFonts w:asciiTheme="minorHAnsi" w:hAnsiTheme="minorHAnsi"/>
                <w:u w:val="single"/>
              </w:rPr>
            </w:pPr>
            <w:r w:rsidRPr="00FB54BE">
              <w:rPr>
                <w:rFonts w:asciiTheme="minorHAnsi" w:hAnsiTheme="minorHAnsi"/>
                <w:u w:val="single"/>
              </w:rPr>
              <w:t>Queen’s</w:t>
            </w:r>
          </w:p>
        </w:tc>
        <w:tc>
          <w:tcPr>
            <w:tcW w:w="1361" w:type="dxa"/>
            <w:tcBorders>
              <w:left w:val="nil"/>
              <w:bottom w:val="nil"/>
              <w:right w:val="nil"/>
            </w:tcBorders>
            <w:vAlign w:val="center"/>
          </w:tcPr>
          <w:p w14:paraId="2908DE02" w14:textId="77777777" w:rsidR="00D921A0" w:rsidRPr="00FB54BE" w:rsidRDefault="00D921A0" w:rsidP="007F37C2">
            <w:pPr>
              <w:pStyle w:val="NoSpacing"/>
              <w:jc w:val="center"/>
              <w:rPr>
                <w:rFonts w:asciiTheme="minorHAnsi" w:hAnsiTheme="minorHAnsi"/>
                <w:u w:val="single"/>
              </w:rPr>
            </w:pPr>
            <w:r w:rsidRPr="00FB54BE">
              <w:rPr>
                <w:rFonts w:asciiTheme="minorHAnsi" w:hAnsiTheme="minorHAnsi"/>
                <w:u w:val="single"/>
              </w:rPr>
              <w:t>Trent</w:t>
            </w:r>
          </w:p>
        </w:tc>
        <w:tc>
          <w:tcPr>
            <w:tcW w:w="1267" w:type="dxa"/>
            <w:tcBorders>
              <w:left w:val="nil"/>
              <w:bottom w:val="nil"/>
              <w:right w:val="nil"/>
            </w:tcBorders>
            <w:vAlign w:val="center"/>
          </w:tcPr>
          <w:p w14:paraId="5439ABAC" w14:textId="77777777" w:rsidR="00D921A0" w:rsidRPr="00444C63" w:rsidRDefault="00D921A0" w:rsidP="007F37C2">
            <w:pPr>
              <w:pStyle w:val="NoSpacing"/>
              <w:jc w:val="center"/>
              <w:rPr>
                <w:rFonts w:asciiTheme="minorHAnsi" w:hAnsiTheme="minorHAnsi"/>
                <w:u w:val="single"/>
              </w:rPr>
            </w:pPr>
            <w:r>
              <w:rPr>
                <w:rFonts w:asciiTheme="minorHAnsi" w:hAnsiTheme="minorHAnsi"/>
                <w:u w:val="single"/>
              </w:rPr>
              <w:t>UOIT</w:t>
            </w:r>
          </w:p>
        </w:tc>
        <w:tc>
          <w:tcPr>
            <w:tcW w:w="938" w:type="dxa"/>
            <w:tcBorders>
              <w:left w:val="nil"/>
              <w:bottom w:val="nil"/>
              <w:right w:val="nil"/>
            </w:tcBorders>
            <w:vAlign w:val="center"/>
          </w:tcPr>
          <w:p w14:paraId="437BC11F" w14:textId="77777777" w:rsidR="00D921A0" w:rsidRPr="00444C63" w:rsidRDefault="00D921A0" w:rsidP="007F37C2">
            <w:pPr>
              <w:pStyle w:val="NoSpacing"/>
              <w:jc w:val="center"/>
              <w:rPr>
                <w:rFonts w:asciiTheme="minorHAnsi" w:hAnsiTheme="minorHAnsi"/>
                <w:u w:val="single"/>
              </w:rPr>
            </w:pPr>
            <w:r w:rsidRPr="00444C63">
              <w:rPr>
                <w:rFonts w:asciiTheme="minorHAnsi" w:hAnsiTheme="minorHAnsi"/>
                <w:u w:val="single"/>
              </w:rPr>
              <w:t>U. Ottawa</w:t>
            </w:r>
          </w:p>
        </w:tc>
        <w:tc>
          <w:tcPr>
            <w:tcW w:w="1395" w:type="dxa"/>
            <w:tcBorders>
              <w:left w:val="nil"/>
              <w:bottom w:val="nil"/>
              <w:right w:val="nil"/>
            </w:tcBorders>
            <w:vAlign w:val="center"/>
          </w:tcPr>
          <w:p w14:paraId="7DACA1B8" w14:textId="77777777" w:rsidR="00D921A0" w:rsidRPr="00ED6989" w:rsidRDefault="00D921A0" w:rsidP="007F37C2">
            <w:pPr>
              <w:pStyle w:val="NoSpacing"/>
              <w:jc w:val="center"/>
              <w:rPr>
                <w:rFonts w:asciiTheme="minorHAnsi" w:hAnsiTheme="minorHAnsi"/>
              </w:rPr>
            </w:pPr>
            <w:r w:rsidRPr="00FB54BE">
              <w:rPr>
                <w:rFonts w:asciiTheme="minorHAnsi" w:hAnsiTheme="minorHAnsi"/>
                <w:u w:val="single"/>
              </w:rPr>
              <w:t>York</w:t>
            </w:r>
          </w:p>
        </w:tc>
      </w:tr>
      <w:tr w:rsidR="00D921A0" w14:paraId="692FD0AE" w14:textId="77777777" w:rsidTr="007F37C2">
        <w:tc>
          <w:tcPr>
            <w:tcW w:w="703" w:type="dxa"/>
            <w:tcBorders>
              <w:top w:val="nil"/>
              <w:left w:val="nil"/>
              <w:bottom w:val="nil"/>
              <w:right w:val="nil"/>
            </w:tcBorders>
          </w:tcPr>
          <w:p w14:paraId="39A1552A" w14:textId="77777777" w:rsidR="00D921A0" w:rsidRDefault="00D921A0" w:rsidP="007F37C2">
            <w:pPr>
              <w:pStyle w:val="NoSpacing"/>
              <w:jc w:val="center"/>
              <w:rPr>
                <w:rFonts w:asciiTheme="minorHAnsi" w:hAnsiTheme="minorHAnsi"/>
              </w:rPr>
            </w:pPr>
            <w:r>
              <w:rPr>
                <w:rFonts w:asciiTheme="minorHAnsi" w:hAnsiTheme="minorHAnsi"/>
              </w:rPr>
              <w:t>2012</w:t>
            </w:r>
          </w:p>
        </w:tc>
        <w:tc>
          <w:tcPr>
            <w:tcW w:w="1366" w:type="dxa"/>
            <w:tcBorders>
              <w:top w:val="nil"/>
              <w:left w:val="nil"/>
              <w:bottom w:val="nil"/>
              <w:right w:val="nil"/>
            </w:tcBorders>
          </w:tcPr>
          <w:p w14:paraId="7D4CF72F"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361" w:type="dxa"/>
            <w:tcBorders>
              <w:top w:val="nil"/>
              <w:left w:val="nil"/>
              <w:bottom w:val="nil"/>
              <w:right w:val="nil"/>
            </w:tcBorders>
          </w:tcPr>
          <w:p w14:paraId="0CB3B87E" w14:textId="77777777" w:rsidR="00D921A0" w:rsidRDefault="00D921A0" w:rsidP="007F37C2">
            <w:pPr>
              <w:pStyle w:val="NoSpacing"/>
              <w:jc w:val="center"/>
              <w:rPr>
                <w:rFonts w:asciiTheme="minorHAnsi" w:hAnsiTheme="minorHAnsi"/>
              </w:rPr>
            </w:pPr>
            <w:r>
              <w:rPr>
                <w:rFonts w:asciiTheme="minorHAnsi" w:hAnsiTheme="minorHAnsi"/>
              </w:rPr>
              <w:t>0-0.39</w:t>
            </w:r>
            <w:r w:rsidRPr="00ED6989">
              <w:rPr>
                <w:rFonts w:asciiTheme="minorHAnsi" w:hAnsiTheme="minorHAnsi"/>
                <w:vertAlign w:val="superscript"/>
              </w:rPr>
              <w:t>a</w:t>
            </w:r>
          </w:p>
        </w:tc>
        <w:tc>
          <w:tcPr>
            <w:tcW w:w="1150" w:type="dxa"/>
            <w:tcBorders>
              <w:top w:val="nil"/>
              <w:left w:val="nil"/>
              <w:bottom w:val="nil"/>
              <w:right w:val="nil"/>
            </w:tcBorders>
          </w:tcPr>
          <w:p w14:paraId="65B97B55" w14:textId="77777777" w:rsidR="00D921A0" w:rsidRDefault="00D921A0" w:rsidP="007F37C2">
            <w:pPr>
              <w:pStyle w:val="NoSpacing"/>
              <w:jc w:val="center"/>
              <w:rPr>
                <w:rFonts w:asciiTheme="minorHAnsi" w:hAnsiTheme="minorHAnsi"/>
              </w:rPr>
            </w:pPr>
            <w:r>
              <w:rPr>
                <w:rFonts w:asciiTheme="minorHAnsi" w:hAnsiTheme="minorHAnsi"/>
              </w:rPr>
              <w:t>0.39</w:t>
            </w:r>
          </w:p>
        </w:tc>
        <w:tc>
          <w:tcPr>
            <w:tcW w:w="1439" w:type="dxa"/>
            <w:tcBorders>
              <w:top w:val="nil"/>
              <w:left w:val="nil"/>
              <w:bottom w:val="nil"/>
              <w:right w:val="nil"/>
            </w:tcBorders>
          </w:tcPr>
          <w:p w14:paraId="17BD699D" w14:textId="77777777" w:rsidR="00D921A0" w:rsidRDefault="00D921A0" w:rsidP="007F37C2">
            <w:pPr>
              <w:pStyle w:val="NoSpacing"/>
              <w:jc w:val="center"/>
              <w:rPr>
                <w:rFonts w:asciiTheme="minorHAnsi" w:hAnsiTheme="minorHAnsi"/>
              </w:rPr>
            </w:pPr>
            <w:proofErr w:type="spellStart"/>
            <w:r>
              <w:rPr>
                <w:rFonts w:asciiTheme="minorHAnsi" w:hAnsiTheme="minorHAnsi"/>
              </w:rPr>
              <w:t>Unavailable</w:t>
            </w:r>
            <w:r>
              <w:rPr>
                <w:rFonts w:asciiTheme="minorHAnsi" w:hAnsiTheme="minorHAnsi"/>
                <w:vertAlign w:val="superscript"/>
              </w:rPr>
              <w:t>b</w:t>
            </w:r>
            <w:proofErr w:type="spellEnd"/>
          </w:p>
        </w:tc>
        <w:tc>
          <w:tcPr>
            <w:tcW w:w="1361" w:type="dxa"/>
            <w:tcBorders>
              <w:top w:val="nil"/>
              <w:left w:val="nil"/>
              <w:bottom w:val="nil"/>
              <w:right w:val="nil"/>
            </w:tcBorders>
          </w:tcPr>
          <w:p w14:paraId="58895791"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267" w:type="dxa"/>
            <w:tcBorders>
              <w:top w:val="nil"/>
              <w:left w:val="nil"/>
              <w:bottom w:val="nil"/>
              <w:right w:val="nil"/>
            </w:tcBorders>
          </w:tcPr>
          <w:p w14:paraId="27F143F9" w14:textId="77777777" w:rsidR="00D921A0" w:rsidRDefault="00D921A0" w:rsidP="007F37C2">
            <w:pPr>
              <w:pStyle w:val="NoSpacing"/>
              <w:jc w:val="center"/>
              <w:rPr>
                <w:rFonts w:asciiTheme="minorHAnsi" w:hAnsiTheme="minorHAnsi"/>
              </w:rPr>
            </w:pPr>
            <w:r>
              <w:rPr>
                <w:rFonts w:asciiTheme="minorHAnsi" w:hAnsiTheme="minorHAnsi"/>
              </w:rPr>
              <w:t>0.38</w:t>
            </w:r>
          </w:p>
        </w:tc>
        <w:tc>
          <w:tcPr>
            <w:tcW w:w="938" w:type="dxa"/>
            <w:tcBorders>
              <w:top w:val="nil"/>
              <w:left w:val="nil"/>
              <w:bottom w:val="nil"/>
              <w:right w:val="nil"/>
            </w:tcBorders>
          </w:tcPr>
          <w:p w14:paraId="6DC96951" w14:textId="77777777" w:rsidR="00D921A0" w:rsidRDefault="00D921A0" w:rsidP="007F37C2">
            <w:pPr>
              <w:pStyle w:val="NoSpacing"/>
              <w:jc w:val="center"/>
              <w:rPr>
                <w:rFonts w:asciiTheme="minorHAnsi" w:hAnsiTheme="minorHAnsi"/>
              </w:rPr>
            </w:pPr>
            <w:r>
              <w:rPr>
                <w:rFonts w:asciiTheme="minorHAnsi" w:hAnsiTheme="minorHAnsi"/>
              </w:rPr>
              <w:t>0.28</w:t>
            </w:r>
          </w:p>
        </w:tc>
        <w:tc>
          <w:tcPr>
            <w:tcW w:w="1395" w:type="dxa"/>
            <w:tcBorders>
              <w:top w:val="nil"/>
              <w:left w:val="nil"/>
              <w:bottom w:val="nil"/>
              <w:right w:val="nil"/>
            </w:tcBorders>
          </w:tcPr>
          <w:p w14:paraId="62DA3BAA" w14:textId="77777777" w:rsidR="00D921A0" w:rsidRDefault="00D921A0" w:rsidP="007F37C2">
            <w:pPr>
              <w:pStyle w:val="NoSpacing"/>
              <w:jc w:val="center"/>
              <w:rPr>
                <w:rFonts w:asciiTheme="minorHAnsi" w:hAnsiTheme="minorHAnsi"/>
              </w:rPr>
            </w:pPr>
            <w:r>
              <w:rPr>
                <w:rFonts w:asciiTheme="minorHAnsi" w:hAnsiTheme="minorHAnsi"/>
              </w:rPr>
              <w:t>1.40</w:t>
            </w:r>
          </w:p>
        </w:tc>
      </w:tr>
      <w:tr w:rsidR="00D921A0" w14:paraId="0A7EB3E6" w14:textId="77777777" w:rsidTr="007F37C2">
        <w:tc>
          <w:tcPr>
            <w:tcW w:w="703" w:type="dxa"/>
            <w:tcBorders>
              <w:top w:val="nil"/>
              <w:left w:val="nil"/>
              <w:bottom w:val="nil"/>
              <w:right w:val="nil"/>
            </w:tcBorders>
          </w:tcPr>
          <w:p w14:paraId="6A65A0F0" w14:textId="77777777" w:rsidR="00D921A0" w:rsidRDefault="00D921A0" w:rsidP="007F37C2">
            <w:pPr>
              <w:pStyle w:val="NoSpacing"/>
              <w:jc w:val="center"/>
              <w:rPr>
                <w:rFonts w:asciiTheme="minorHAnsi" w:hAnsiTheme="minorHAnsi"/>
              </w:rPr>
            </w:pPr>
            <w:r>
              <w:rPr>
                <w:rFonts w:asciiTheme="minorHAnsi" w:hAnsiTheme="minorHAnsi"/>
              </w:rPr>
              <w:t>2013</w:t>
            </w:r>
          </w:p>
        </w:tc>
        <w:tc>
          <w:tcPr>
            <w:tcW w:w="1366" w:type="dxa"/>
            <w:tcBorders>
              <w:top w:val="nil"/>
              <w:left w:val="nil"/>
              <w:bottom w:val="nil"/>
              <w:right w:val="nil"/>
            </w:tcBorders>
          </w:tcPr>
          <w:p w14:paraId="57DC0F72"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361" w:type="dxa"/>
            <w:tcBorders>
              <w:top w:val="nil"/>
              <w:left w:val="nil"/>
              <w:bottom w:val="nil"/>
              <w:right w:val="nil"/>
            </w:tcBorders>
          </w:tcPr>
          <w:p w14:paraId="304976B6" w14:textId="77777777" w:rsidR="00D921A0" w:rsidRDefault="00D921A0" w:rsidP="007F37C2">
            <w:pPr>
              <w:pStyle w:val="NoSpacing"/>
              <w:jc w:val="center"/>
              <w:rPr>
                <w:rFonts w:asciiTheme="minorHAnsi" w:hAnsiTheme="minorHAnsi"/>
              </w:rPr>
            </w:pPr>
            <w:r>
              <w:rPr>
                <w:rFonts w:asciiTheme="minorHAnsi" w:hAnsiTheme="minorHAnsi"/>
              </w:rPr>
              <w:t>0-0.50</w:t>
            </w:r>
          </w:p>
        </w:tc>
        <w:tc>
          <w:tcPr>
            <w:tcW w:w="1150" w:type="dxa"/>
            <w:tcBorders>
              <w:top w:val="nil"/>
              <w:left w:val="nil"/>
              <w:bottom w:val="nil"/>
              <w:right w:val="nil"/>
            </w:tcBorders>
          </w:tcPr>
          <w:p w14:paraId="0D5BE5FC" w14:textId="77777777" w:rsidR="00D921A0" w:rsidRDefault="00D921A0" w:rsidP="007F37C2">
            <w:pPr>
              <w:pStyle w:val="NoSpacing"/>
              <w:jc w:val="center"/>
              <w:rPr>
                <w:rFonts w:asciiTheme="minorHAnsi" w:hAnsiTheme="minorHAnsi"/>
              </w:rPr>
            </w:pPr>
            <w:r>
              <w:rPr>
                <w:rFonts w:asciiTheme="minorHAnsi" w:hAnsiTheme="minorHAnsi"/>
              </w:rPr>
              <w:t>0.29</w:t>
            </w:r>
          </w:p>
        </w:tc>
        <w:tc>
          <w:tcPr>
            <w:tcW w:w="1439" w:type="dxa"/>
            <w:tcBorders>
              <w:top w:val="nil"/>
              <w:left w:val="nil"/>
              <w:bottom w:val="nil"/>
              <w:right w:val="nil"/>
            </w:tcBorders>
          </w:tcPr>
          <w:p w14:paraId="19929B10" w14:textId="77777777" w:rsidR="00D921A0" w:rsidRDefault="00D921A0" w:rsidP="007F37C2">
            <w:pPr>
              <w:pStyle w:val="NoSpacing"/>
              <w:jc w:val="center"/>
              <w:rPr>
                <w:rFonts w:asciiTheme="minorHAnsi" w:hAnsiTheme="minorHAnsi"/>
              </w:rPr>
            </w:pPr>
            <w:r>
              <w:rPr>
                <w:rFonts w:asciiTheme="minorHAnsi" w:hAnsiTheme="minorHAnsi"/>
              </w:rPr>
              <w:t>1.11</w:t>
            </w:r>
          </w:p>
        </w:tc>
        <w:tc>
          <w:tcPr>
            <w:tcW w:w="1361" w:type="dxa"/>
            <w:tcBorders>
              <w:top w:val="nil"/>
              <w:left w:val="nil"/>
              <w:bottom w:val="nil"/>
              <w:right w:val="nil"/>
            </w:tcBorders>
          </w:tcPr>
          <w:p w14:paraId="2853763A" w14:textId="77777777" w:rsidR="00D921A0" w:rsidRDefault="00D921A0" w:rsidP="007F37C2">
            <w:pPr>
              <w:pStyle w:val="NoSpacing"/>
              <w:jc w:val="center"/>
              <w:rPr>
                <w:rFonts w:asciiTheme="minorHAnsi" w:hAnsiTheme="minorHAnsi"/>
              </w:rPr>
            </w:pPr>
            <w:r>
              <w:rPr>
                <w:rFonts w:asciiTheme="minorHAnsi" w:hAnsiTheme="minorHAnsi"/>
              </w:rPr>
              <w:t>0.98</w:t>
            </w:r>
          </w:p>
        </w:tc>
        <w:tc>
          <w:tcPr>
            <w:tcW w:w="1267" w:type="dxa"/>
            <w:tcBorders>
              <w:top w:val="nil"/>
              <w:left w:val="nil"/>
              <w:bottom w:val="nil"/>
              <w:right w:val="nil"/>
            </w:tcBorders>
          </w:tcPr>
          <w:p w14:paraId="24EB5881" w14:textId="77777777" w:rsidR="00D921A0" w:rsidRDefault="00D921A0" w:rsidP="007F37C2">
            <w:pPr>
              <w:pStyle w:val="NoSpacing"/>
              <w:jc w:val="center"/>
              <w:rPr>
                <w:rFonts w:asciiTheme="minorHAnsi" w:hAnsiTheme="minorHAnsi"/>
              </w:rPr>
            </w:pPr>
            <w:r>
              <w:rPr>
                <w:rFonts w:asciiTheme="minorHAnsi" w:hAnsiTheme="minorHAnsi"/>
              </w:rPr>
              <w:t>0.46</w:t>
            </w:r>
          </w:p>
        </w:tc>
        <w:tc>
          <w:tcPr>
            <w:tcW w:w="938" w:type="dxa"/>
            <w:tcBorders>
              <w:top w:val="nil"/>
              <w:left w:val="nil"/>
              <w:bottom w:val="nil"/>
              <w:right w:val="nil"/>
            </w:tcBorders>
          </w:tcPr>
          <w:p w14:paraId="73AF00A3" w14:textId="77777777" w:rsidR="00D921A0" w:rsidRDefault="00D921A0" w:rsidP="007F37C2">
            <w:pPr>
              <w:pStyle w:val="NoSpacing"/>
              <w:jc w:val="center"/>
              <w:rPr>
                <w:rFonts w:asciiTheme="minorHAnsi" w:hAnsiTheme="minorHAnsi"/>
              </w:rPr>
            </w:pPr>
            <w:r>
              <w:rPr>
                <w:rFonts w:asciiTheme="minorHAnsi" w:hAnsiTheme="minorHAnsi"/>
              </w:rPr>
              <w:t>0.04</w:t>
            </w:r>
          </w:p>
        </w:tc>
        <w:tc>
          <w:tcPr>
            <w:tcW w:w="1395" w:type="dxa"/>
            <w:tcBorders>
              <w:top w:val="nil"/>
              <w:left w:val="nil"/>
              <w:bottom w:val="nil"/>
              <w:right w:val="nil"/>
            </w:tcBorders>
          </w:tcPr>
          <w:p w14:paraId="1BB85AC3" w14:textId="77777777" w:rsidR="00D921A0" w:rsidRDefault="00D921A0" w:rsidP="007F37C2">
            <w:pPr>
              <w:pStyle w:val="NoSpacing"/>
              <w:jc w:val="center"/>
              <w:rPr>
                <w:rFonts w:asciiTheme="minorHAnsi" w:hAnsiTheme="minorHAnsi"/>
              </w:rPr>
            </w:pPr>
            <w:r>
              <w:rPr>
                <w:rFonts w:asciiTheme="minorHAnsi" w:hAnsiTheme="minorHAnsi"/>
              </w:rPr>
              <w:t>1.17</w:t>
            </w:r>
          </w:p>
        </w:tc>
      </w:tr>
      <w:tr w:rsidR="00D921A0" w14:paraId="241B81BD" w14:textId="77777777" w:rsidTr="007F37C2">
        <w:tc>
          <w:tcPr>
            <w:tcW w:w="703" w:type="dxa"/>
            <w:tcBorders>
              <w:top w:val="nil"/>
              <w:left w:val="nil"/>
              <w:bottom w:val="nil"/>
              <w:right w:val="nil"/>
            </w:tcBorders>
          </w:tcPr>
          <w:p w14:paraId="39C835DA" w14:textId="77777777" w:rsidR="00D921A0" w:rsidRDefault="00D921A0" w:rsidP="007F37C2">
            <w:pPr>
              <w:pStyle w:val="NoSpacing"/>
              <w:jc w:val="center"/>
              <w:rPr>
                <w:rFonts w:asciiTheme="minorHAnsi" w:hAnsiTheme="minorHAnsi"/>
              </w:rPr>
            </w:pPr>
            <w:r>
              <w:rPr>
                <w:rFonts w:asciiTheme="minorHAnsi" w:hAnsiTheme="minorHAnsi"/>
              </w:rPr>
              <w:t>2014</w:t>
            </w:r>
          </w:p>
        </w:tc>
        <w:tc>
          <w:tcPr>
            <w:tcW w:w="1366" w:type="dxa"/>
            <w:tcBorders>
              <w:top w:val="nil"/>
              <w:left w:val="nil"/>
              <w:bottom w:val="nil"/>
              <w:right w:val="nil"/>
            </w:tcBorders>
          </w:tcPr>
          <w:p w14:paraId="50C6C7FB"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361" w:type="dxa"/>
            <w:tcBorders>
              <w:top w:val="nil"/>
              <w:left w:val="nil"/>
              <w:bottom w:val="nil"/>
              <w:right w:val="nil"/>
            </w:tcBorders>
          </w:tcPr>
          <w:p w14:paraId="74F2D593" w14:textId="77777777" w:rsidR="00D921A0" w:rsidRDefault="00D921A0" w:rsidP="007F37C2">
            <w:pPr>
              <w:pStyle w:val="NoSpacing"/>
              <w:jc w:val="center"/>
              <w:rPr>
                <w:rFonts w:asciiTheme="minorHAnsi" w:hAnsiTheme="minorHAnsi"/>
              </w:rPr>
            </w:pPr>
            <w:r>
              <w:rPr>
                <w:rFonts w:asciiTheme="minorHAnsi" w:hAnsiTheme="minorHAnsi"/>
              </w:rPr>
              <w:t>1.40</w:t>
            </w:r>
          </w:p>
        </w:tc>
        <w:tc>
          <w:tcPr>
            <w:tcW w:w="1150" w:type="dxa"/>
            <w:tcBorders>
              <w:top w:val="nil"/>
              <w:left w:val="nil"/>
              <w:bottom w:val="nil"/>
              <w:right w:val="nil"/>
            </w:tcBorders>
          </w:tcPr>
          <w:p w14:paraId="22F87019" w14:textId="77777777" w:rsidR="00D921A0" w:rsidRDefault="00D921A0" w:rsidP="007F37C2">
            <w:pPr>
              <w:pStyle w:val="NoSpacing"/>
              <w:jc w:val="center"/>
              <w:rPr>
                <w:rFonts w:asciiTheme="minorHAnsi" w:hAnsiTheme="minorHAnsi"/>
              </w:rPr>
            </w:pPr>
            <w:r>
              <w:rPr>
                <w:rFonts w:asciiTheme="minorHAnsi" w:hAnsiTheme="minorHAnsi"/>
              </w:rPr>
              <w:t>0.50</w:t>
            </w:r>
          </w:p>
        </w:tc>
        <w:tc>
          <w:tcPr>
            <w:tcW w:w="1439" w:type="dxa"/>
            <w:tcBorders>
              <w:top w:val="nil"/>
              <w:left w:val="nil"/>
              <w:bottom w:val="nil"/>
              <w:right w:val="nil"/>
            </w:tcBorders>
          </w:tcPr>
          <w:p w14:paraId="2FF14720"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361" w:type="dxa"/>
            <w:tcBorders>
              <w:top w:val="nil"/>
              <w:left w:val="nil"/>
              <w:bottom w:val="nil"/>
              <w:right w:val="nil"/>
            </w:tcBorders>
          </w:tcPr>
          <w:p w14:paraId="56425A82" w14:textId="77777777" w:rsidR="00D921A0" w:rsidRDefault="00D921A0" w:rsidP="007F37C2">
            <w:pPr>
              <w:pStyle w:val="NoSpacing"/>
              <w:jc w:val="center"/>
              <w:rPr>
                <w:rFonts w:asciiTheme="minorHAnsi" w:hAnsiTheme="minorHAnsi"/>
              </w:rPr>
            </w:pPr>
            <w:r>
              <w:rPr>
                <w:rFonts w:asciiTheme="minorHAnsi" w:hAnsiTheme="minorHAnsi"/>
              </w:rPr>
              <w:t>0.96</w:t>
            </w:r>
          </w:p>
        </w:tc>
        <w:tc>
          <w:tcPr>
            <w:tcW w:w="1267" w:type="dxa"/>
            <w:tcBorders>
              <w:top w:val="nil"/>
              <w:left w:val="nil"/>
              <w:bottom w:val="nil"/>
              <w:right w:val="nil"/>
            </w:tcBorders>
          </w:tcPr>
          <w:p w14:paraId="4A971CCB" w14:textId="77777777" w:rsidR="00D921A0" w:rsidRDefault="00D921A0" w:rsidP="007F37C2">
            <w:pPr>
              <w:pStyle w:val="NoSpacing"/>
              <w:jc w:val="center"/>
              <w:rPr>
                <w:rFonts w:asciiTheme="minorHAnsi" w:hAnsiTheme="minorHAnsi"/>
              </w:rPr>
            </w:pPr>
            <w:r>
              <w:rPr>
                <w:rFonts w:asciiTheme="minorHAnsi" w:hAnsiTheme="minorHAnsi"/>
              </w:rPr>
              <w:t>0.40</w:t>
            </w:r>
          </w:p>
        </w:tc>
        <w:tc>
          <w:tcPr>
            <w:tcW w:w="938" w:type="dxa"/>
            <w:tcBorders>
              <w:top w:val="nil"/>
              <w:left w:val="nil"/>
              <w:bottom w:val="nil"/>
              <w:right w:val="nil"/>
            </w:tcBorders>
          </w:tcPr>
          <w:p w14:paraId="22388358" w14:textId="77777777" w:rsidR="00D921A0" w:rsidRDefault="00D921A0" w:rsidP="007F37C2">
            <w:pPr>
              <w:pStyle w:val="NoSpacing"/>
              <w:jc w:val="center"/>
              <w:rPr>
                <w:rFonts w:asciiTheme="minorHAnsi" w:hAnsiTheme="minorHAnsi"/>
              </w:rPr>
            </w:pPr>
            <w:r>
              <w:rPr>
                <w:rFonts w:asciiTheme="minorHAnsi" w:hAnsiTheme="minorHAnsi"/>
              </w:rPr>
              <w:t>0.02</w:t>
            </w:r>
          </w:p>
        </w:tc>
        <w:tc>
          <w:tcPr>
            <w:tcW w:w="1395" w:type="dxa"/>
            <w:tcBorders>
              <w:top w:val="nil"/>
              <w:left w:val="nil"/>
              <w:bottom w:val="nil"/>
              <w:right w:val="nil"/>
            </w:tcBorders>
          </w:tcPr>
          <w:p w14:paraId="6D139A83" w14:textId="77777777" w:rsidR="00D921A0" w:rsidRDefault="00D921A0" w:rsidP="007F37C2">
            <w:pPr>
              <w:pStyle w:val="NoSpacing"/>
              <w:jc w:val="center"/>
              <w:rPr>
                <w:rFonts w:asciiTheme="minorHAnsi" w:hAnsiTheme="minorHAnsi"/>
              </w:rPr>
            </w:pPr>
            <w:r>
              <w:rPr>
                <w:rFonts w:asciiTheme="minorHAnsi" w:hAnsiTheme="minorHAnsi"/>
              </w:rPr>
              <w:t>1.09</w:t>
            </w:r>
          </w:p>
        </w:tc>
      </w:tr>
      <w:tr w:rsidR="00D921A0" w14:paraId="158678EE" w14:textId="77777777" w:rsidTr="007F37C2">
        <w:tc>
          <w:tcPr>
            <w:tcW w:w="703" w:type="dxa"/>
            <w:tcBorders>
              <w:top w:val="nil"/>
              <w:left w:val="nil"/>
              <w:bottom w:val="nil"/>
              <w:right w:val="nil"/>
            </w:tcBorders>
          </w:tcPr>
          <w:p w14:paraId="4E4CE3BC" w14:textId="77777777" w:rsidR="00D921A0" w:rsidRDefault="00D921A0" w:rsidP="007F37C2">
            <w:pPr>
              <w:pStyle w:val="NoSpacing"/>
              <w:jc w:val="center"/>
              <w:rPr>
                <w:rFonts w:asciiTheme="minorHAnsi" w:hAnsiTheme="minorHAnsi"/>
              </w:rPr>
            </w:pPr>
            <w:r>
              <w:rPr>
                <w:rFonts w:asciiTheme="minorHAnsi" w:hAnsiTheme="minorHAnsi"/>
              </w:rPr>
              <w:t>2015</w:t>
            </w:r>
          </w:p>
        </w:tc>
        <w:tc>
          <w:tcPr>
            <w:tcW w:w="1366" w:type="dxa"/>
            <w:tcBorders>
              <w:top w:val="nil"/>
              <w:left w:val="nil"/>
              <w:bottom w:val="nil"/>
              <w:right w:val="nil"/>
            </w:tcBorders>
          </w:tcPr>
          <w:p w14:paraId="76C98659"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361" w:type="dxa"/>
            <w:tcBorders>
              <w:top w:val="nil"/>
              <w:left w:val="nil"/>
              <w:bottom w:val="nil"/>
              <w:right w:val="nil"/>
            </w:tcBorders>
          </w:tcPr>
          <w:p w14:paraId="2C34097B" w14:textId="77777777" w:rsidR="00D921A0" w:rsidRDefault="00D921A0" w:rsidP="007F37C2">
            <w:pPr>
              <w:pStyle w:val="NoSpacing"/>
              <w:jc w:val="center"/>
              <w:rPr>
                <w:rFonts w:asciiTheme="minorHAnsi" w:hAnsiTheme="minorHAnsi"/>
              </w:rPr>
            </w:pPr>
            <w:r>
              <w:rPr>
                <w:rFonts w:asciiTheme="minorHAnsi" w:hAnsiTheme="minorHAnsi"/>
              </w:rPr>
              <w:t>3.56</w:t>
            </w:r>
          </w:p>
        </w:tc>
        <w:tc>
          <w:tcPr>
            <w:tcW w:w="1150" w:type="dxa"/>
            <w:tcBorders>
              <w:top w:val="nil"/>
              <w:left w:val="nil"/>
              <w:bottom w:val="nil"/>
              <w:right w:val="nil"/>
            </w:tcBorders>
          </w:tcPr>
          <w:p w14:paraId="635C84FB" w14:textId="77777777" w:rsidR="00D921A0" w:rsidRDefault="00D921A0" w:rsidP="007F37C2">
            <w:pPr>
              <w:pStyle w:val="NoSpacing"/>
              <w:jc w:val="center"/>
              <w:rPr>
                <w:rFonts w:asciiTheme="minorHAnsi" w:hAnsiTheme="minorHAnsi"/>
              </w:rPr>
            </w:pPr>
            <w:r>
              <w:rPr>
                <w:rFonts w:asciiTheme="minorHAnsi" w:hAnsiTheme="minorHAnsi"/>
              </w:rPr>
              <w:t>0.13</w:t>
            </w:r>
          </w:p>
        </w:tc>
        <w:tc>
          <w:tcPr>
            <w:tcW w:w="1439" w:type="dxa"/>
            <w:tcBorders>
              <w:top w:val="nil"/>
              <w:left w:val="nil"/>
              <w:bottom w:val="nil"/>
              <w:right w:val="nil"/>
            </w:tcBorders>
          </w:tcPr>
          <w:p w14:paraId="6F666E18" w14:textId="77777777" w:rsidR="00D921A0" w:rsidRDefault="00D921A0" w:rsidP="007F37C2">
            <w:pPr>
              <w:pStyle w:val="NoSpacing"/>
              <w:jc w:val="center"/>
              <w:rPr>
                <w:rFonts w:asciiTheme="minorHAnsi" w:hAnsiTheme="minorHAnsi"/>
              </w:rPr>
            </w:pPr>
            <w:r>
              <w:rPr>
                <w:rFonts w:asciiTheme="minorHAnsi" w:hAnsiTheme="minorHAnsi"/>
              </w:rPr>
              <w:t>1.01</w:t>
            </w:r>
          </w:p>
        </w:tc>
        <w:tc>
          <w:tcPr>
            <w:tcW w:w="1361" w:type="dxa"/>
            <w:tcBorders>
              <w:top w:val="nil"/>
              <w:left w:val="nil"/>
              <w:bottom w:val="nil"/>
              <w:right w:val="nil"/>
            </w:tcBorders>
          </w:tcPr>
          <w:p w14:paraId="479A718D" w14:textId="77777777" w:rsidR="00D921A0" w:rsidRDefault="00D921A0" w:rsidP="007F37C2">
            <w:pPr>
              <w:pStyle w:val="NoSpacing"/>
              <w:jc w:val="center"/>
              <w:rPr>
                <w:rFonts w:asciiTheme="minorHAnsi" w:hAnsiTheme="minorHAnsi"/>
              </w:rPr>
            </w:pPr>
            <w:r>
              <w:rPr>
                <w:rFonts w:asciiTheme="minorHAnsi" w:hAnsiTheme="minorHAnsi"/>
              </w:rPr>
              <w:t>1.45</w:t>
            </w:r>
          </w:p>
        </w:tc>
        <w:tc>
          <w:tcPr>
            <w:tcW w:w="1267" w:type="dxa"/>
            <w:tcBorders>
              <w:top w:val="nil"/>
              <w:left w:val="nil"/>
              <w:bottom w:val="nil"/>
              <w:right w:val="nil"/>
            </w:tcBorders>
          </w:tcPr>
          <w:p w14:paraId="0B02F82E" w14:textId="77777777" w:rsidR="00D921A0" w:rsidRDefault="00D921A0" w:rsidP="007F37C2">
            <w:pPr>
              <w:pStyle w:val="NoSpacing"/>
              <w:jc w:val="center"/>
              <w:rPr>
                <w:rFonts w:asciiTheme="minorHAnsi" w:hAnsiTheme="minorHAnsi"/>
              </w:rPr>
            </w:pPr>
            <w:r>
              <w:rPr>
                <w:rFonts w:asciiTheme="minorHAnsi" w:hAnsiTheme="minorHAnsi"/>
              </w:rPr>
              <w:t>0.92</w:t>
            </w:r>
          </w:p>
        </w:tc>
        <w:tc>
          <w:tcPr>
            <w:tcW w:w="938" w:type="dxa"/>
            <w:tcBorders>
              <w:top w:val="nil"/>
              <w:left w:val="nil"/>
              <w:bottom w:val="nil"/>
              <w:right w:val="nil"/>
            </w:tcBorders>
          </w:tcPr>
          <w:p w14:paraId="0BF7BAE8" w14:textId="77777777" w:rsidR="00D921A0" w:rsidRDefault="00D921A0" w:rsidP="007F37C2">
            <w:pPr>
              <w:pStyle w:val="NoSpacing"/>
              <w:jc w:val="center"/>
              <w:rPr>
                <w:rFonts w:asciiTheme="minorHAnsi" w:hAnsiTheme="minorHAnsi"/>
              </w:rPr>
            </w:pPr>
            <w:r>
              <w:rPr>
                <w:rFonts w:asciiTheme="minorHAnsi" w:hAnsiTheme="minorHAnsi"/>
              </w:rPr>
              <w:t>0.97</w:t>
            </w:r>
          </w:p>
        </w:tc>
        <w:tc>
          <w:tcPr>
            <w:tcW w:w="1395" w:type="dxa"/>
            <w:tcBorders>
              <w:top w:val="nil"/>
              <w:left w:val="nil"/>
              <w:bottom w:val="nil"/>
              <w:right w:val="nil"/>
            </w:tcBorders>
          </w:tcPr>
          <w:p w14:paraId="39CA009E" w14:textId="77777777" w:rsidR="00D921A0" w:rsidRDefault="00D921A0" w:rsidP="007F37C2">
            <w:pPr>
              <w:pStyle w:val="NoSpacing"/>
              <w:jc w:val="center"/>
              <w:rPr>
                <w:rFonts w:asciiTheme="minorHAnsi" w:hAnsiTheme="minorHAnsi"/>
              </w:rPr>
            </w:pPr>
            <w:r>
              <w:rPr>
                <w:rFonts w:asciiTheme="minorHAnsi" w:hAnsiTheme="minorHAnsi"/>
              </w:rPr>
              <w:t>1.16</w:t>
            </w:r>
            <w:r>
              <w:rPr>
                <w:rFonts w:asciiTheme="minorHAnsi" w:hAnsiTheme="minorHAnsi"/>
                <w:vertAlign w:val="superscript"/>
              </w:rPr>
              <w:t>c</w:t>
            </w:r>
          </w:p>
        </w:tc>
      </w:tr>
      <w:tr w:rsidR="00D921A0" w14:paraId="11B0E217" w14:textId="77777777" w:rsidTr="007F37C2">
        <w:tc>
          <w:tcPr>
            <w:tcW w:w="703" w:type="dxa"/>
            <w:tcBorders>
              <w:top w:val="nil"/>
              <w:left w:val="nil"/>
              <w:bottom w:val="single" w:sz="4" w:space="0" w:color="auto"/>
              <w:right w:val="nil"/>
            </w:tcBorders>
          </w:tcPr>
          <w:p w14:paraId="62D9F988" w14:textId="77777777" w:rsidR="00D921A0" w:rsidRDefault="00D921A0" w:rsidP="007F37C2">
            <w:pPr>
              <w:pStyle w:val="NoSpacing"/>
              <w:jc w:val="center"/>
              <w:rPr>
                <w:rFonts w:asciiTheme="minorHAnsi" w:hAnsiTheme="minorHAnsi"/>
              </w:rPr>
            </w:pPr>
            <w:r>
              <w:rPr>
                <w:rFonts w:asciiTheme="minorHAnsi" w:hAnsiTheme="minorHAnsi"/>
              </w:rPr>
              <w:t>2016</w:t>
            </w:r>
          </w:p>
        </w:tc>
        <w:tc>
          <w:tcPr>
            <w:tcW w:w="1366" w:type="dxa"/>
            <w:tcBorders>
              <w:top w:val="nil"/>
              <w:left w:val="nil"/>
              <w:bottom w:val="single" w:sz="4" w:space="0" w:color="auto"/>
              <w:right w:val="nil"/>
            </w:tcBorders>
          </w:tcPr>
          <w:p w14:paraId="5F46C3A6"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361" w:type="dxa"/>
            <w:tcBorders>
              <w:top w:val="nil"/>
              <w:left w:val="nil"/>
              <w:bottom w:val="single" w:sz="4" w:space="0" w:color="auto"/>
              <w:right w:val="nil"/>
            </w:tcBorders>
          </w:tcPr>
          <w:p w14:paraId="38CCB110" w14:textId="77777777" w:rsidR="00D921A0" w:rsidRDefault="00D921A0" w:rsidP="007F37C2">
            <w:pPr>
              <w:pStyle w:val="NoSpacing"/>
              <w:jc w:val="center"/>
              <w:rPr>
                <w:rFonts w:asciiTheme="minorHAnsi" w:hAnsiTheme="minorHAnsi"/>
              </w:rPr>
            </w:pPr>
            <w:r>
              <w:rPr>
                <w:rFonts w:asciiTheme="minorHAnsi" w:hAnsiTheme="minorHAnsi"/>
              </w:rPr>
              <w:t>1.49</w:t>
            </w:r>
          </w:p>
        </w:tc>
        <w:tc>
          <w:tcPr>
            <w:tcW w:w="1150" w:type="dxa"/>
            <w:tcBorders>
              <w:top w:val="nil"/>
              <w:left w:val="nil"/>
              <w:bottom w:val="single" w:sz="4" w:space="0" w:color="auto"/>
              <w:right w:val="nil"/>
            </w:tcBorders>
          </w:tcPr>
          <w:p w14:paraId="1FB19306" w14:textId="77777777" w:rsidR="00D921A0" w:rsidRDefault="00D921A0" w:rsidP="007F37C2">
            <w:pPr>
              <w:pStyle w:val="NoSpacing"/>
              <w:jc w:val="center"/>
              <w:rPr>
                <w:rFonts w:asciiTheme="minorHAnsi" w:hAnsiTheme="minorHAnsi"/>
              </w:rPr>
            </w:pPr>
            <w:r>
              <w:rPr>
                <w:rFonts w:asciiTheme="minorHAnsi" w:hAnsiTheme="minorHAnsi"/>
              </w:rPr>
              <w:t>0.15</w:t>
            </w:r>
          </w:p>
        </w:tc>
        <w:tc>
          <w:tcPr>
            <w:tcW w:w="1439" w:type="dxa"/>
            <w:tcBorders>
              <w:top w:val="nil"/>
              <w:left w:val="nil"/>
              <w:bottom w:val="single" w:sz="4" w:space="0" w:color="auto"/>
              <w:right w:val="nil"/>
            </w:tcBorders>
          </w:tcPr>
          <w:p w14:paraId="7A620958" w14:textId="77777777" w:rsidR="00D921A0" w:rsidRDefault="00D921A0" w:rsidP="007F37C2">
            <w:pPr>
              <w:pStyle w:val="NoSpacing"/>
              <w:jc w:val="center"/>
              <w:rPr>
                <w:rFonts w:asciiTheme="minorHAnsi" w:hAnsiTheme="minorHAnsi"/>
              </w:rPr>
            </w:pPr>
            <w:r>
              <w:rPr>
                <w:rFonts w:asciiTheme="minorHAnsi" w:hAnsiTheme="minorHAnsi"/>
              </w:rPr>
              <w:t>1.99</w:t>
            </w:r>
          </w:p>
        </w:tc>
        <w:tc>
          <w:tcPr>
            <w:tcW w:w="1361" w:type="dxa"/>
            <w:tcBorders>
              <w:top w:val="nil"/>
              <w:left w:val="nil"/>
              <w:bottom w:val="single" w:sz="4" w:space="0" w:color="auto"/>
              <w:right w:val="nil"/>
            </w:tcBorders>
          </w:tcPr>
          <w:p w14:paraId="1E0D6FB4" w14:textId="77777777" w:rsidR="00D921A0" w:rsidRDefault="00D921A0" w:rsidP="007F37C2">
            <w:pPr>
              <w:pStyle w:val="NoSpacing"/>
              <w:jc w:val="center"/>
              <w:rPr>
                <w:rFonts w:asciiTheme="minorHAnsi" w:hAnsiTheme="minorHAnsi"/>
              </w:rPr>
            </w:pPr>
            <w:r>
              <w:rPr>
                <w:rFonts w:asciiTheme="minorHAnsi" w:hAnsiTheme="minorHAnsi"/>
              </w:rPr>
              <w:t>2.59</w:t>
            </w:r>
          </w:p>
        </w:tc>
        <w:tc>
          <w:tcPr>
            <w:tcW w:w="1267" w:type="dxa"/>
            <w:tcBorders>
              <w:top w:val="nil"/>
              <w:left w:val="nil"/>
              <w:bottom w:val="single" w:sz="4" w:space="0" w:color="auto"/>
              <w:right w:val="nil"/>
            </w:tcBorders>
          </w:tcPr>
          <w:p w14:paraId="04831440" w14:textId="77777777" w:rsidR="00D921A0" w:rsidRDefault="00D921A0" w:rsidP="007F37C2">
            <w:pPr>
              <w:pStyle w:val="NoSpacing"/>
              <w:jc w:val="center"/>
              <w:rPr>
                <w:rFonts w:asciiTheme="minorHAnsi" w:hAnsiTheme="minorHAnsi"/>
              </w:rPr>
            </w:pPr>
            <w:r>
              <w:rPr>
                <w:rFonts w:asciiTheme="minorHAnsi" w:hAnsiTheme="minorHAnsi"/>
              </w:rPr>
              <w:t>0.81</w:t>
            </w:r>
          </w:p>
        </w:tc>
        <w:tc>
          <w:tcPr>
            <w:tcW w:w="938" w:type="dxa"/>
            <w:tcBorders>
              <w:top w:val="nil"/>
              <w:left w:val="nil"/>
              <w:bottom w:val="single" w:sz="4" w:space="0" w:color="auto"/>
              <w:right w:val="nil"/>
            </w:tcBorders>
          </w:tcPr>
          <w:p w14:paraId="33AC9625" w14:textId="77777777" w:rsidR="00D921A0" w:rsidRDefault="00D921A0" w:rsidP="007F37C2">
            <w:pPr>
              <w:pStyle w:val="NoSpacing"/>
              <w:jc w:val="center"/>
              <w:rPr>
                <w:rFonts w:asciiTheme="minorHAnsi" w:hAnsiTheme="minorHAnsi"/>
              </w:rPr>
            </w:pPr>
            <w:r>
              <w:rPr>
                <w:rFonts w:asciiTheme="minorHAnsi" w:hAnsiTheme="minorHAnsi"/>
              </w:rPr>
              <w:t>1.29</w:t>
            </w:r>
          </w:p>
        </w:tc>
        <w:tc>
          <w:tcPr>
            <w:tcW w:w="1395" w:type="dxa"/>
            <w:tcBorders>
              <w:top w:val="nil"/>
              <w:left w:val="nil"/>
              <w:bottom w:val="single" w:sz="4" w:space="0" w:color="auto"/>
              <w:right w:val="nil"/>
            </w:tcBorders>
          </w:tcPr>
          <w:p w14:paraId="7F08DA6F" w14:textId="77777777" w:rsidR="00D921A0" w:rsidRDefault="00D921A0" w:rsidP="007F37C2">
            <w:pPr>
              <w:pStyle w:val="NoSpacing"/>
              <w:jc w:val="center"/>
              <w:rPr>
                <w:rFonts w:asciiTheme="minorHAnsi" w:hAnsiTheme="minorHAnsi"/>
              </w:rPr>
            </w:pPr>
            <w:r>
              <w:rPr>
                <w:rFonts w:asciiTheme="minorHAnsi" w:hAnsiTheme="minorHAnsi"/>
              </w:rPr>
              <w:t>1.14</w:t>
            </w:r>
          </w:p>
        </w:tc>
      </w:tr>
      <w:tr w:rsidR="00D921A0" w14:paraId="7214F414" w14:textId="77777777" w:rsidTr="007F37C2">
        <w:tc>
          <w:tcPr>
            <w:tcW w:w="10980" w:type="dxa"/>
            <w:gridSpan w:val="9"/>
            <w:tcBorders>
              <w:top w:val="single" w:sz="4" w:space="0" w:color="auto"/>
              <w:left w:val="nil"/>
              <w:bottom w:val="single" w:sz="4" w:space="0" w:color="auto"/>
              <w:right w:val="nil"/>
            </w:tcBorders>
          </w:tcPr>
          <w:p w14:paraId="49DE594E" w14:textId="77777777" w:rsidR="00D921A0" w:rsidRDefault="00D921A0" w:rsidP="007F37C2">
            <w:pPr>
              <w:pStyle w:val="NoSpacing"/>
              <w:jc w:val="center"/>
              <w:rPr>
                <w:rFonts w:asciiTheme="minorHAnsi" w:hAnsiTheme="minorHAnsi"/>
              </w:rPr>
            </w:pPr>
            <w:r>
              <w:rPr>
                <w:rFonts w:asciiTheme="minorHAnsi" w:hAnsiTheme="minorHAnsi"/>
              </w:rPr>
              <w:t>Of all Acceptances (%)</w:t>
            </w:r>
          </w:p>
        </w:tc>
      </w:tr>
      <w:tr w:rsidR="00D921A0" w14:paraId="761571CD" w14:textId="77777777" w:rsidTr="007F37C2">
        <w:tc>
          <w:tcPr>
            <w:tcW w:w="703" w:type="dxa"/>
            <w:tcBorders>
              <w:top w:val="single" w:sz="4" w:space="0" w:color="auto"/>
              <w:left w:val="nil"/>
              <w:bottom w:val="nil"/>
              <w:right w:val="nil"/>
            </w:tcBorders>
            <w:vAlign w:val="center"/>
          </w:tcPr>
          <w:p w14:paraId="28E48EF0" w14:textId="77777777" w:rsidR="00D921A0" w:rsidRPr="00DC3E7B" w:rsidRDefault="00D921A0" w:rsidP="007F37C2">
            <w:pPr>
              <w:pStyle w:val="NoSpacing"/>
              <w:jc w:val="center"/>
              <w:rPr>
                <w:rFonts w:asciiTheme="minorHAnsi" w:hAnsiTheme="minorHAnsi"/>
                <w:u w:val="single"/>
              </w:rPr>
            </w:pPr>
            <w:r w:rsidRPr="00DC3E7B">
              <w:rPr>
                <w:rFonts w:asciiTheme="minorHAnsi" w:hAnsiTheme="minorHAnsi"/>
                <w:u w:val="single"/>
              </w:rPr>
              <w:t>Year</w:t>
            </w:r>
          </w:p>
        </w:tc>
        <w:tc>
          <w:tcPr>
            <w:tcW w:w="1366" w:type="dxa"/>
            <w:tcBorders>
              <w:top w:val="single" w:sz="4" w:space="0" w:color="auto"/>
              <w:left w:val="nil"/>
              <w:bottom w:val="nil"/>
              <w:right w:val="nil"/>
            </w:tcBorders>
            <w:vAlign w:val="center"/>
          </w:tcPr>
          <w:p w14:paraId="634C67C6" w14:textId="77777777" w:rsidR="00D921A0" w:rsidRPr="00FB54BE" w:rsidRDefault="00D921A0" w:rsidP="007F37C2">
            <w:pPr>
              <w:pStyle w:val="NoSpacing"/>
              <w:jc w:val="center"/>
              <w:rPr>
                <w:rFonts w:asciiTheme="minorHAnsi" w:hAnsiTheme="minorHAnsi"/>
                <w:u w:val="single"/>
              </w:rPr>
            </w:pPr>
            <w:r w:rsidRPr="00FB54BE">
              <w:rPr>
                <w:rFonts w:asciiTheme="minorHAnsi" w:hAnsiTheme="minorHAnsi"/>
                <w:u w:val="single"/>
              </w:rPr>
              <w:t>Lakehead</w:t>
            </w:r>
          </w:p>
        </w:tc>
        <w:tc>
          <w:tcPr>
            <w:tcW w:w="1361" w:type="dxa"/>
            <w:tcBorders>
              <w:top w:val="single" w:sz="4" w:space="0" w:color="auto"/>
              <w:left w:val="nil"/>
              <w:bottom w:val="nil"/>
              <w:right w:val="nil"/>
            </w:tcBorders>
            <w:vAlign w:val="center"/>
          </w:tcPr>
          <w:p w14:paraId="053607ED" w14:textId="77777777" w:rsidR="00D921A0" w:rsidRPr="00FB54BE" w:rsidRDefault="00D921A0" w:rsidP="007F37C2">
            <w:pPr>
              <w:pStyle w:val="NoSpacing"/>
              <w:jc w:val="center"/>
              <w:rPr>
                <w:rFonts w:asciiTheme="minorHAnsi" w:hAnsiTheme="minorHAnsi"/>
                <w:u w:val="single"/>
              </w:rPr>
            </w:pPr>
            <w:r w:rsidRPr="00FB54BE">
              <w:rPr>
                <w:rFonts w:asciiTheme="minorHAnsi" w:hAnsiTheme="minorHAnsi"/>
                <w:u w:val="single"/>
              </w:rPr>
              <w:t>Laurentian</w:t>
            </w:r>
          </w:p>
        </w:tc>
        <w:tc>
          <w:tcPr>
            <w:tcW w:w="1150" w:type="dxa"/>
            <w:tcBorders>
              <w:top w:val="single" w:sz="4" w:space="0" w:color="auto"/>
              <w:left w:val="nil"/>
              <w:bottom w:val="nil"/>
              <w:right w:val="nil"/>
            </w:tcBorders>
            <w:vAlign w:val="center"/>
          </w:tcPr>
          <w:p w14:paraId="04DABF48" w14:textId="77777777" w:rsidR="00D921A0" w:rsidRPr="00FB54BE" w:rsidRDefault="00D921A0" w:rsidP="007F37C2">
            <w:pPr>
              <w:pStyle w:val="NoSpacing"/>
              <w:jc w:val="center"/>
              <w:rPr>
                <w:rFonts w:asciiTheme="minorHAnsi" w:hAnsiTheme="minorHAnsi"/>
                <w:u w:val="single"/>
              </w:rPr>
            </w:pPr>
            <w:r w:rsidRPr="00FB54BE">
              <w:rPr>
                <w:rFonts w:asciiTheme="minorHAnsi" w:hAnsiTheme="minorHAnsi"/>
                <w:u w:val="single"/>
              </w:rPr>
              <w:t>Nipissing</w:t>
            </w:r>
          </w:p>
        </w:tc>
        <w:tc>
          <w:tcPr>
            <w:tcW w:w="1439" w:type="dxa"/>
            <w:tcBorders>
              <w:top w:val="single" w:sz="4" w:space="0" w:color="auto"/>
              <w:left w:val="nil"/>
              <w:bottom w:val="nil"/>
              <w:right w:val="nil"/>
            </w:tcBorders>
            <w:vAlign w:val="center"/>
          </w:tcPr>
          <w:p w14:paraId="56E8D8C3" w14:textId="77777777" w:rsidR="00D921A0" w:rsidRPr="00FB54BE" w:rsidRDefault="00D921A0" w:rsidP="007F37C2">
            <w:pPr>
              <w:pStyle w:val="NoSpacing"/>
              <w:jc w:val="center"/>
              <w:rPr>
                <w:rFonts w:asciiTheme="minorHAnsi" w:hAnsiTheme="minorHAnsi"/>
                <w:u w:val="single"/>
              </w:rPr>
            </w:pPr>
            <w:r w:rsidRPr="00FB54BE">
              <w:rPr>
                <w:rFonts w:asciiTheme="minorHAnsi" w:hAnsiTheme="minorHAnsi"/>
                <w:u w:val="single"/>
              </w:rPr>
              <w:t>Queen’s</w:t>
            </w:r>
          </w:p>
        </w:tc>
        <w:tc>
          <w:tcPr>
            <w:tcW w:w="1361" w:type="dxa"/>
            <w:tcBorders>
              <w:top w:val="single" w:sz="4" w:space="0" w:color="auto"/>
              <w:left w:val="nil"/>
              <w:bottom w:val="nil"/>
              <w:right w:val="nil"/>
            </w:tcBorders>
            <w:vAlign w:val="center"/>
          </w:tcPr>
          <w:p w14:paraId="3DD0A61A" w14:textId="77777777" w:rsidR="00D921A0" w:rsidRPr="00FB54BE" w:rsidRDefault="00D921A0" w:rsidP="007F37C2">
            <w:pPr>
              <w:pStyle w:val="NoSpacing"/>
              <w:jc w:val="center"/>
              <w:rPr>
                <w:rFonts w:asciiTheme="minorHAnsi" w:hAnsiTheme="minorHAnsi"/>
                <w:u w:val="single"/>
              </w:rPr>
            </w:pPr>
            <w:r w:rsidRPr="00FB54BE">
              <w:rPr>
                <w:rFonts w:asciiTheme="minorHAnsi" w:hAnsiTheme="minorHAnsi"/>
                <w:u w:val="single"/>
              </w:rPr>
              <w:t>Trent</w:t>
            </w:r>
          </w:p>
        </w:tc>
        <w:tc>
          <w:tcPr>
            <w:tcW w:w="1267" w:type="dxa"/>
            <w:tcBorders>
              <w:top w:val="single" w:sz="4" w:space="0" w:color="auto"/>
              <w:left w:val="nil"/>
              <w:bottom w:val="nil"/>
              <w:right w:val="nil"/>
            </w:tcBorders>
            <w:vAlign w:val="center"/>
          </w:tcPr>
          <w:p w14:paraId="0881178E" w14:textId="77777777" w:rsidR="00D921A0" w:rsidRPr="00444C63" w:rsidRDefault="00D921A0" w:rsidP="007F37C2">
            <w:pPr>
              <w:pStyle w:val="NoSpacing"/>
              <w:jc w:val="center"/>
              <w:rPr>
                <w:rFonts w:asciiTheme="minorHAnsi" w:hAnsiTheme="minorHAnsi"/>
                <w:u w:val="single"/>
              </w:rPr>
            </w:pPr>
            <w:r>
              <w:rPr>
                <w:rFonts w:asciiTheme="minorHAnsi" w:hAnsiTheme="minorHAnsi"/>
                <w:u w:val="single"/>
              </w:rPr>
              <w:t>UOIT</w:t>
            </w:r>
          </w:p>
        </w:tc>
        <w:tc>
          <w:tcPr>
            <w:tcW w:w="938" w:type="dxa"/>
            <w:tcBorders>
              <w:top w:val="single" w:sz="4" w:space="0" w:color="auto"/>
              <w:left w:val="nil"/>
              <w:bottom w:val="nil"/>
              <w:right w:val="nil"/>
            </w:tcBorders>
            <w:vAlign w:val="center"/>
          </w:tcPr>
          <w:p w14:paraId="5B714979" w14:textId="77777777" w:rsidR="00D921A0" w:rsidRPr="00444C63" w:rsidRDefault="00D921A0" w:rsidP="007F37C2">
            <w:pPr>
              <w:pStyle w:val="NoSpacing"/>
              <w:jc w:val="center"/>
              <w:rPr>
                <w:rFonts w:asciiTheme="minorHAnsi" w:hAnsiTheme="minorHAnsi"/>
                <w:u w:val="single"/>
              </w:rPr>
            </w:pPr>
            <w:r w:rsidRPr="00444C63">
              <w:rPr>
                <w:rFonts w:asciiTheme="minorHAnsi" w:hAnsiTheme="minorHAnsi"/>
                <w:u w:val="single"/>
              </w:rPr>
              <w:t>U. Ottawa</w:t>
            </w:r>
          </w:p>
        </w:tc>
        <w:tc>
          <w:tcPr>
            <w:tcW w:w="1395" w:type="dxa"/>
            <w:tcBorders>
              <w:top w:val="single" w:sz="4" w:space="0" w:color="auto"/>
              <w:left w:val="nil"/>
              <w:bottom w:val="nil"/>
              <w:right w:val="nil"/>
            </w:tcBorders>
            <w:vAlign w:val="center"/>
          </w:tcPr>
          <w:p w14:paraId="241C8B37" w14:textId="77777777" w:rsidR="00D921A0" w:rsidRPr="00FB54BE" w:rsidRDefault="00D921A0" w:rsidP="007F37C2">
            <w:pPr>
              <w:pStyle w:val="NoSpacing"/>
              <w:jc w:val="center"/>
              <w:rPr>
                <w:rFonts w:asciiTheme="minorHAnsi" w:hAnsiTheme="minorHAnsi"/>
                <w:u w:val="single"/>
              </w:rPr>
            </w:pPr>
            <w:r w:rsidRPr="00FB54BE">
              <w:rPr>
                <w:rFonts w:asciiTheme="minorHAnsi" w:hAnsiTheme="minorHAnsi"/>
                <w:u w:val="single"/>
              </w:rPr>
              <w:t>York</w:t>
            </w:r>
          </w:p>
        </w:tc>
      </w:tr>
      <w:tr w:rsidR="00D921A0" w14:paraId="2BCE8FB8" w14:textId="77777777" w:rsidTr="007F37C2">
        <w:tc>
          <w:tcPr>
            <w:tcW w:w="703" w:type="dxa"/>
            <w:tcBorders>
              <w:top w:val="nil"/>
              <w:left w:val="nil"/>
              <w:bottom w:val="nil"/>
              <w:right w:val="nil"/>
            </w:tcBorders>
          </w:tcPr>
          <w:p w14:paraId="2FBBC7D9" w14:textId="77777777" w:rsidR="00D921A0" w:rsidRDefault="00D921A0" w:rsidP="007F37C2">
            <w:pPr>
              <w:pStyle w:val="NoSpacing"/>
              <w:jc w:val="center"/>
              <w:rPr>
                <w:rFonts w:asciiTheme="minorHAnsi" w:hAnsiTheme="minorHAnsi"/>
              </w:rPr>
            </w:pPr>
            <w:r>
              <w:rPr>
                <w:rFonts w:asciiTheme="minorHAnsi" w:hAnsiTheme="minorHAnsi"/>
              </w:rPr>
              <w:t>2012</w:t>
            </w:r>
          </w:p>
        </w:tc>
        <w:tc>
          <w:tcPr>
            <w:tcW w:w="1366" w:type="dxa"/>
            <w:tcBorders>
              <w:top w:val="nil"/>
              <w:left w:val="nil"/>
              <w:bottom w:val="nil"/>
              <w:right w:val="nil"/>
            </w:tcBorders>
          </w:tcPr>
          <w:p w14:paraId="51EEABC5" w14:textId="77777777" w:rsidR="00D921A0" w:rsidRDefault="00D921A0" w:rsidP="007F37C2">
            <w:pPr>
              <w:pStyle w:val="NoSpacing"/>
              <w:jc w:val="center"/>
              <w:rPr>
                <w:rFonts w:asciiTheme="minorHAnsi" w:hAnsiTheme="minorHAnsi"/>
              </w:rPr>
            </w:pPr>
            <w:r>
              <w:rPr>
                <w:rFonts w:asciiTheme="minorHAnsi" w:hAnsiTheme="minorHAnsi"/>
              </w:rPr>
              <w:t>3.95</w:t>
            </w:r>
          </w:p>
        </w:tc>
        <w:tc>
          <w:tcPr>
            <w:tcW w:w="1361" w:type="dxa"/>
            <w:tcBorders>
              <w:top w:val="nil"/>
              <w:left w:val="nil"/>
              <w:bottom w:val="nil"/>
              <w:right w:val="nil"/>
            </w:tcBorders>
          </w:tcPr>
          <w:p w14:paraId="4C407989"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150" w:type="dxa"/>
            <w:tcBorders>
              <w:top w:val="nil"/>
              <w:left w:val="nil"/>
              <w:bottom w:val="nil"/>
              <w:right w:val="nil"/>
            </w:tcBorders>
          </w:tcPr>
          <w:p w14:paraId="608355DC" w14:textId="77777777" w:rsidR="00D921A0" w:rsidRDefault="00D921A0" w:rsidP="007F37C2">
            <w:pPr>
              <w:pStyle w:val="NoSpacing"/>
              <w:jc w:val="center"/>
              <w:rPr>
                <w:rFonts w:asciiTheme="minorHAnsi" w:hAnsiTheme="minorHAnsi"/>
              </w:rPr>
            </w:pPr>
            <w:r>
              <w:rPr>
                <w:rFonts w:asciiTheme="minorHAnsi" w:hAnsiTheme="minorHAnsi"/>
              </w:rPr>
              <w:t>0.92</w:t>
            </w:r>
          </w:p>
        </w:tc>
        <w:tc>
          <w:tcPr>
            <w:tcW w:w="1439" w:type="dxa"/>
            <w:tcBorders>
              <w:top w:val="nil"/>
              <w:left w:val="nil"/>
              <w:bottom w:val="nil"/>
              <w:right w:val="nil"/>
            </w:tcBorders>
          </w:tcPr>
          <w:p w14:paraId="2981B1A3"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361" w:type="dxa"/>
            <w:tcBorders>
              <w:top w:val="nil"/>
              <w:left w:val="nil"/>
              <w:bottom w:val="nil"/>
              <w:right w:val="nil"/>
            </w:tcBorders>
          </w:tcPr>
          <w:p w14:paraId="6F889673"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267" w:type="dxa"/>
            <w:tcBorders>
              <w:top w:val="nil"/>
              <w:left w:val="nil"/>
              <w:bottom w:val="nil"/>
              <w:right w:val="nil"/>
            </w:tcBorders>
          </w:tcPr>
          <w:p w14:paraId="6600AA9E" w14:textId="77777777" w:rsidR="00D921A0" w:rsidRDefault="00D921A0" w:rsidP="007F37C2">
            <w:pPr>
              <w:pStyle w:val="NoSpacing"/>
              <w:jc w:val="center"/>
              <w:rPr>
                <w:rFonts w:asciiTheme="minorHAnsi" w:hAnsiTheme="minorHAnsi"/>
              </w:rPr>
            </w:pPr>
            <w:r>
              <w:rPr>
                <w:rFonts w:asciiTheme="minorHAnsi" w:hAnsiTheme="minorHAnsi"/>
              </w:rPr>
              <w:t>0.00</w:t>
            </w:r>
          </w:p>
        </w:tc>
        <w:tc>
          <w:tcPr>
            <w:tcW w:w="938" w:type="dxa"/>
            <w:tcBorders>
              <w:top w:val="nil"/>
              <w:left w:val="nil"/>
              <w:bottom w:val="nil"/>
              <w:right w:val="nil"/>
            </w:tcBorders>
          </w:tcPr>
          <w:p w14:paraId="429E5E84" w14:textId="77777777" w:rsidR="00D921A0" w:rsidRDefault="00D921A0" w:rsidP="007F37C2">
            <w:pPr>
              <w:pStyle w:val="NoSpacing"/>
              <w:jc w:val="center"/>
              <w:rPr>
                <w:rFonts w:asciiTheme="minorHAnsi" w:hAnsiTheme="minorHAnsi"/>
              </w:rPr>
            </w:pPr>
            <w:r>
              <w:rPr>
                <w:rFonts w:asciiTheme="minorHAnsi" w:hAnsiTheme="minorHAnsi"/>
              </w:rPr>
              <w:t>0.08</w:t>
            </w:r>
          </w:p>
        </w:tc>
        <w:tc>
          <w:tcPr>
            <w:tcW w:w="1395" w:type="dxa"/>
            <w:tcBorders>
              <w:top w:val="nil"/>
              <w:left w:val="nil"/>
              <w:bottom w:val="nil"/>
              <w:right w:val="nil"/>
            </w:tcBorders>
          </w:tcPr>
          <w:p w14:paraId="509CD61A" w14:textId="77777777" w:rsidR="00D921A0" w:rsidRDefault="00D921A0" w:rsidP="007F37C2">
            <w:pPr>
              <w:pStyle w:val="NoSpacing"/>
              <w:jc w:val="center"/>
              <w:rPr>
                <w:rFonts w:asciiTheme="minorHAnsi" w:hAnsiTheme="minorHAnsi"/>
              </w:rPr>
            </w:pPr>
            <w:r>
              <w:rPr>
                <w:rFonts w:asciiTheme="minorHAnsi" w:hAnsiTheme="minorHAnsi"/>
              </w:rPr>
              <w:t>1.42</w:t>
            </w:r>
          </w:p>
        </w:tc>
      </w:tr>
      <w:tr w:rsidR="00D921A0" w14:paraId="12F0804B" w14:textId="77777777" w:rsidTr="007F37C2">
        <w:tc>
          <w:tcPr>
            <w:tcW w:w="703" w:type="dxa"/>
            <w:tcBorders>
              <w:top w:val="nil"/>
              <w:left w:val="nil"/>
              <w:bottom w:val="nil"/>
              <w:right w:val="nil"/>
            </w:tcBorders>
          </w:tcPr>
          <w:p w14:paraId="2E6C4B61" w14:textId="77777777" w:rsidR="00D921A0" w:rsidRDefault="00D921A0" w:rsidP="007F37C2">
            <w:pPr>
              <w:pStyle w:val="NoSpacing"/>
              <w:jc w:val="center"/>
              <w:rPr>
                <w:rFonts w:asciiTheme="minorHAnsi" w:hAnsiTheme="minorHAnsi"/>
              </w:rPr>
            </w:pPr>
            <w:r>
              <w:rPr>
                <w:rFonts w:asciiTheme="minorHAnsi" w:hAnsiTheme="minorHAnsi"/>
              </w:rPr>
              <w:t>2013</w:t>
            </w:r>
          </w:p>
        </w:tc>
        <w:tc>
          <w:tcPr>
            <w:tcW w:w="1366" w:type="dxa"/>
            <w:tcBorders>
              <w:top w:val="nil"/>
              <w:left w:val="nil"/>
              <w:bottom w:val="nil"/>
              <w:right w:val="nil"/>
            </w:tcBorders>
          </w:tcPr>
          <w:p w14:paraId="0B94914C" w14:textId="77777777" w:rsidR="00D921A0" w:rsidRDefault="00D921A0" w:rsidP="007F37C2">
            <w:pPr>
              <w:pStyle w:val="NoSpacing"/>
              <w:jc w:val="center"/>
              <w:rPr>
                <w:rFonts w:asciiTheme="minorHAnsi" w:hAnsiTheme="minorHAnsi"/>
              </w:rPr>
            </w:pPr>
            <w:r>
              <w:rPr>
                <w:rFonts w:asciiTheme="minorHAnsi" w:hAnsiTheme="minorHAnsi"/>
              </w:rPr>
              <w:t>4.51</w:t>
            </w:r>
          </w:p>
        </w:tc>
        <w:tc>
          <w:tcPr>
            <w:tcW w:w="1361" w:type="dxa"/>
            <w:tcBorders>
              <w:top w:val="nil"/>
              <w:left w:val="nil"/>
              <w:bottom w:val="nil"/>
              <w:right w:val="nil"/>
            </w:tcBorders>
          </w:tcPr>
          <w:p w14:paraId="5D96C7E8"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150" w:type="dxa"/>
            <w:tcBorders>
              <w:top w:val="nil"/>
              <w:left w:val="nil"/>
              <w:bottom w:val="nil"/>
              <w:right w:val="nil"/>
            </w:tcBorders>
          </w:tcPr>
          <w:p w14:paraId="7C7FEB11" w14:textId="77777777" w:rsidR="00D921A0" w:rsidRDefault="00D921A0" w:rsidP="007F37C2">
            <w:pPr>
              <w:pStyle w:val="NoSpacing"/>
              <w:jc w:val="center"/>
              <w:rPr>
                <w:rFonts w:asciiTheme="minorHAnsi" w:hAnsiTheme="minorHAnsi"/>
              </w:rPr>
            </w:pPr>
            <w:r>
              <w:rPr>
                <w:rFonts w:asciiTheme="minorHAnsi" w:hAnsiTheme="minorHAnsi"/>
              </w:rPr>
              <w:t>0.61</w:t>
            </w:r>
          </w:p>
        </w:tc>
        <w:tc>
          <w:tcPr>
            <w:tcW w:w="1439" w:type="dxa"/>
            <w:tcBorders>
              <w:top w:val="nil"/>
              <w:left w:val="nil"/>
              <w:bottom w:val="nil"/>
              <w:right w:val="nil"/>
            </w:tcBorders>
          </w:tcPr>
          <w:p w14:paraId="5269D892" w14:textId="77777777" w:rsidR="00D921A0" w:rsidRDefault="00D921A0" w:rsidP="007F37C2">
            <w:pPr>
              <w:pStyle w:val="NoSpacing"/>
              <w:jc w:val="center"/>
              <w:rPr>
                <w:rFonts w:asciiTheme="minorHAnsi" w:hAnsiTheme="minorHAnsi"/>
              </w:rPr>
            </w:pPr>
            <w:r>
              <w:rPr>
                <w:rFonts w:asciiTheme="minorHAnsi" w:hAnsiTheme="minorHAnsi"/>
              </w:rPr>
              <w:t>0.90</w:t>
            </w:r>
          </w:p>
        </w:tc>
        <w:tc>
          <w:tcPr>
            <w:tcW w:w="1361" w:type="dxa"/>
            <w:tcBorders>
              <w:top w:val="nil"/>
              <w:left w:val="nil"/>
              <w:bottom w:val="nil"/>
              <w:right w:val="nil"/>
            </w:tcBorders>
          </w:tcPr>
          <w:p w14:paraId="41A63A5F" w14:textId="77777777" w:rsidR="00D921A0" w:rsidRDefault="00D921A0" w:rsidP="007F37C2">
            <w:pPr>
              <w:pStyle w:val="NoSpacing"/>
              <w:jc w:val="center"/>
              <w:rPr>
                <w:rFonts w:asciiTheme="minorHAnsi" w:hAnsiTheme="minorHAnsi"/>
              </w:rPr>
            </w:pPr>
            <w:r>
              <w:rPr>
                <w:rFonts w:asciiTheme="minorHAnsi" w:hAnsiTheme="minorHAnsi"/>
              </w:rPr>
              <w:t>1.49</w:t>
            </w:r>
          </w:p>
        </w:tc>
        <w:tc>
          <w:tcPr>
            <w:tcW w:w="1267" w:type="dxa"/>
            <w:tcBorders>
              <w:top w:val="nil"/>
              <w:left w:val="nil"/>
              <w:bottom w:val="nil"/>
              <w:right w:val="nil"/>
            </w:tcBorders>
          </w:tcPr>
          <w:p w14:paraId="211A267B" w14:textId="77777777" w:rsidR="00D921A0" w:rsidRDefault="00D921A0" w:rsidP="007F37C2">
            <w:pPr>
              <w:pStyle w:val="NoSpacing"/>
              <w:jc w:val="center"/>
              <w:rPr>
                <w:rFonts w:asciiTheme="minorHAnsi" w:hAnsiTheme="minorHAnsi"/>
              </w:rPr>
            </w:pPr>
            <w:r>
              <w:rPr>
                <w:rFonts w:asciiTheme="minorHAnsi" w:hAnsiTheme="minorHAnsi"/>
              </w:rPr>
              <w:t>0.00-0.80</w:t>
            </w:r>
            <w:r w:rsidRPr="0074073C">
              <w:rPr>
                <w:rFonts w:asciiTheme="minorHAnsi" w:hAnsiTheme="minorHAnsi"/>
                <w:vertAlign w:val="superscript"/>
              </w:rPr>
              <w:t>d</w:t>
            </w:r>
          </w:p>
        </w:tc>
        <w:tc>
          <w:tcPr>
            <w:tcW w:w="938" w:type="dxa"/>
            <w:tcBorders>
              <w:top w:val="nil"/>
              <w:left w:val="nil"/>
              <w:bottom w:val="nil"/>
              <w:right w:val="nil"/>
            </w:tcBorders>
          </w:tcPr>
          <w:p w14:paraId="0342F99B" w14:textId="77777777" w:rsidR="00D921A0" w:rsidRDefault="00D921A0" w:rsidP="007F37C2">
            <w:pPr>
              <w:pStyle w:val="NoSpacing"/>
              <w:jc w:val="center"/>
              <w:rPr>
                <w:rFonts w:asciiTheme="minorHAnsi" w:hAnsiTheme="minorHAnsi"/>
              </w:rPr>
            </w:pPr>
            <w:r>
              <w:rPr>
                <w:rFonts w:asciiTheme="minorHAnsi" w:hAnsiTheme="minorHAnsi"/>
              </w:rPr>
              <w:t>0.00</w:t>
            </w:r>
          </w:p>
        </w:tc>
        <w:tc>
          <w:tcPr>
            <w:tcW w:w="1395" w:type="dxa"/>
            <w:tcBorders>
              <w:top w:val="nil"/>
              <w:left w:val="nil"/>
              <w:bottom w:val="nil"/>
              <w:right w:val="nil"/>
            </w:tcBorders>
          </w:tcPr>
          <w:p w14:paraId="3B6E5646" w14:textId="77777777" w:rsidR="00D921A0" w:rsidRDefault="00D921A0" w:rsidP="007F37C2">
            <w:pPr>
              <w:pStyle w:val="NoSpacing"/>
              <w:jc w:val="center"/>
              <w:rPr>
                <w:rFonts w:asciiTheme="minorHAnsi" w:hAnsiTheme="minorHAnsi"/>
              </w:rPr>
            </w:pPr>
            <w:r>
              <w:rPr>
                <w:rFonts w:asciiTheme="minorHAnsi" w:hAnsiTheme="minorHAnsi"/>
              </w:rPr>
              <w:t>1.52</w:t>
            </w:r>
          </w:p>
        </w:tc>
      </w:tr>
      <w:tr w:rsidR="00D921A0" w14:paraId="0E7A9FAD" w14:textId="77777777" w:rsidTr="007F37C2">
        <w:tc>
          <w:tcPr>
            <w:tcW w:w="703" w:type="dxa"/>
            <w:tcBorders>
              <w:top w:val="nil"/>
              <w:left w:val="nil"/>
              <w:bottom w:val="nil"/>
              <w:right w:val="nil"/>
            </w:tcBorders>
          </w:tcPr>
          <w:p w14:paraId="2F7684F4" w14:textId="77777777" w:rsidR="00D921A0" w:rsidRDefault="00D921A0" w:rsidP="007F37C2">
            <w:pPr>
              <w:pStyle w:val="NoSpacing"/>
              <w:jc w:val="center"/>
              <w:rPr>
                <w:rFonts w:asciiTheme="minorHAnsi" w:hAnsiTheme="minorHAnsi"/>
              </w:rPr>
            </w:pPr>
            <w:r>
              <w:rPr>
                <w:rFonts w:asciiTheme="minorHAnsi" w:hAnsiTheme="minorHAnsi"/>
              </w:rPr>
              <w:t>2014</w:t>
            </w:r>
          </w:p>
        </w:tc>
        <w:tc>
          <w:tcPr>
            <w:tcW w:w="1366" w:type="dxa"/>
            <w:tcBorders>
              <w:top w:val="nil"/>
              <w:left w:val="nil"/>
              <w:bottom w:val="nil"/>
              <w:right w:val="nil"/>
            </w:tcBorders>
          </w:tcPr>
          <w:p w14:paraId="70D757F5" w14:textId="77777777" w:rsidR="00D921A0" w:rsidRDefault="00D921A0" w:rsidP="007F37C2">
            <w:pPr>
              <w:pStyle w:val="NoSpacing"/>
              <w:jc w:val="center"/>
              <w:rPr>
                <w:rFonts w:asciiTheme="minorHAnsi" w:hAnsiTheme="minorHAnsi"/>
              </w:rPr>
            </w:pPr>
            <w:r>
              <w:rPr>
                <w:rFonts w:asciiTheme="minorHAnsi" w:hAnsiTheme="minorHAnsi"/>
              </w:rPr>
              <w:t>3.51</w:t>
            </w:r>
          </w:p>
        </w:tc>
        <w:tc>
          <w:tcPr>
            <w:tcW w:w="1361" w:type="dxa"/>
            <w:tcBorders>
              <w:top w:val="nil"/>
              <w:left w:val="nil"/>
              <w:bottom w:val="nil"/>
              <w:right w:val="nil"/>
            </w:tcBorders>
          </w:tcPr>
          <w:p w14:paraId="1056519C"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150" w:type="dxa"/>
            <w:tcBorders>
              <w:top w:val="nil"/>
              <w:left w:val="nil"/>
              <w:bottom w:val="nil"/>
              <w:right w:val="nil"/>
            </w:tcBorders>
          </w:tcPr>
          <w:p w14:paraId="5A858E09" w14:textId="77777777" w:rsidR="00D921A0" w:rsidRDefault="00D921A0" w:rsidP="007F37C2">
            <w:pPr>
              <w:pStyle w:val="NoSpacing"/>
              <w:jc w:val="center"/>
              <w:rPr>
                <w:rFonts w:asciiTheme="minorHAnsi" w:hAnsiTheme="minorHAnsi"/>
              </w:rPr>
            </w:pPr>
            <w:r>
              <w:rPr>
                <w:rFonts w:asciiTheme="minorHAnsi" w:hAnsiTheme="minorHAnsi"/>
              </w:rPr>
              <w:t>0.64</w:t>
            </w:r>
          </w:p>
        </w:tc>
        <w:tc>
          <w:tcPr>
            <w:tcW w:w="1439" w:type="dxa"/>
            <w:tcBorders>
              <w:top w:val="nil"/>
              <w:left w:val="nil"/>
              <w:bottom w:val="nil"/>
              <w:right w:val="nil"/>
            </w:tcBorders>
          </w:tcPr>
          <w:p w14:paraId="50A6CA3B"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361" w:type="dxa"/>
            <w:tcBorders>
              <w:top w:val="nil"/>
              <w:left w:val="nil"/>
              <w:bottom w:val="nil"/>
              <w:right w:val="nil"/>
            </w:tcBorders>
          </w:tcPr>
          <w:p w14:paraId="29A926E8" w14:textId="77777777" w:rsidR="00D921A0" w:rsidRDefault="00D921A0" w:rsidP="007F37C2">
            <w:pPr>
              <w:pStyle w:val="NoSpacing"/>
              <w:jc w:val="center"/>
              <w:rPr>
                <w:rFonts w:asciiTheme="minorHAnsi" w:hAnsiTheme="minorHAnsi"/>
              </w:rPr>
            </w:pPr>
            <w:r>
              <w:rPr>
                <w:rFonts w:asciiTheme="minorHAnsi" w:hAnsiTheme="minorHAnsi"/>
              </w:rPr>
              <w:t>2.46</w:t>
            </w:r>
          </w:p>
        </w:tc>
        <w:tc>
          <w:tcPr>
            <w:tcW w:w="1267" w:type="dxa"/>
            <w:tcBorders>
              <w:top w:val="nil"/>
              <w:left w:val="nil"/>
              <w:bottom w:val="nil"/>
              <w:right w:val="nil"/>
            </w:tcBorders>
          </w:tcPr>
          <w:p w14:paraId="59465438" w14:textId="77777777" w:rsidR="00D921A0" w:rsidRDefault="00D921A0" w:rsidP="007F37C2">
            <w:pPr>
              <w:pStyle w:val="NoSpacing"/>
              <w:jc w:val="center"/>
              <w:rPr>
                <w:rFonts w:asciiTheme="minorHAnsi" w:hAnsiTheme="minorHAnsi"/>
              </w:rPr>
            </w:pPr>
            <w:r>
              <w:rPr>
                <w:rFonts w:asciiTheme="minorHAnsi" w:hAnsiTheme="minorHAnsi"/>
              </w:rPr>
              <w:t>0.00</w:t>
            </w:r>
          </w:p>
        </w:tc>
        <w:tc>
          <w:tcPr>
            <w:tcW w:w="938" w:type="dxa"/>
            <w:tcBorders>
              <w:top w:val="nil"/>
              <w:left w:val="nil"/>
              <w:bottom w:val="nil"/>
              <w:right w:val="nil"/>
            </w:tcBorders>
          </w:tcPr>
          <w:p w14:paraId="7A19BC2F" w14:textId="77777777" w:rsidR="00D921A0" w:rsidRDefault="00D921A0" w:rsidP="007F37C2">
            <w:pPr>
              <w:pStyle w:val="NoSpacing"/>
              <w:jc w:val="center"/>
              <w:rPr>
                <w:rFonts w:asciiTheme="minorHAnsi" w:hAnsiTheme="minorHAnsi"/>
              </w:rPr>
            </w:pPr>
            <w:r>
              <w:rPr>
                <w:rFonts w:asciiTheme="minorHAnsi" w:hAnsiTheme="minorHAnsi"/>
              </w:rPr>
              <w:t>0.08</w:t>
            </w:r>
          </w:p>
        </w:tc>
        <w:tc>
          <w:tcPr>
            <w:tcW w:w="1395" w:type="dxa"/>
            <w:tcBorders>
              <w:top w:val="nil"/>
              <w:left w:val="nil"/>
              <w:bottom w:val="nil"/>
              <w:right w:val="nil"/>
            </w:tcBorders>
          </w:tcPr>
          <w:p w14:paraId="48556118" w14:textId="77777777" w:rsidR="00D921A0" w:rsidRDefault="00D921A0" w:rsidP="007F37C2">
            <w:pPr>
              <w:pStyle w:val="NoSpacing"/>
              <w:jc w:val="center"/>
              <w:rPr>
                <w:rFonts w:asciiTheme="minorHAnsi" w:hAnsiTheme="minorHAnsi"/>
              </w:rPr>
            </w:pPr>
            <w:r>
              <w:rPr>
                <w:rFonts w:asciiTheme="minorHAnsi" w:hAnsiTheme="minorHAnsi"/>
              </w:rPr>
              <w:t>1.66</w:t>
            </w:r>
          </w:p>
        </w:tc>
      </w:tr>
      <w:tr w:rsidR="00D921A0" w14:paraId="4FFB8EE1" w14:textId="77777777" w:rsidTr="007F37C2">
        <w:tc>
          <w:tcPr>
            <w:tcW w:w="703" w:type="dxa"/>
            <w:tcBorders>
              <w:top w:val="nil"/>
              <w:left w:val="nil"/>
              <w:bottom w:val="nil"/>
              <w:right w:val="nil"/>
            </w:tcBorders>
          </w:tcPr>
          <w:p w14:paraId="114C6E0B" w14:textId="77777777" w:rsidR="00D921A0" w:rsidRDefault="00D921A0" w:rsidP="007F37C2">
            <w:pPr>
              <w:pStyle w:val="NoSpacing"/>
              <w:jc w:val="center"/>
              <w:rPr>
                <w:rFonts w:asciiTheme="minorHAnsi" w:hAnsiTheme="minorHAnsi"/>
              </w:rPr>
            </w:pPr>
            <w:r>
              <w:rPr>
                <w:rFonts w:asciiTheme="minorHAnsi" w:hAnsiTheme="minorHAnsi"/>
              </w:rPr>
              <w:t>2015</w:t>
            </w:r>
          </w:p>
        </w:tc>
        <w:tc>
          <w:tcPr>
            <w:tcW w:w="1366" w:type="dxa"/>
            <w:tcBorders>
              <w:top w:val="nil"/>
              <w:left w:val="nil"/>
              <w:bottom w:val="nil"/>
              <w:right w:val="nil"/>
            </w:tcBorders>
          </w:tcPr>
          <w:p w14:paraId="3C264655" w14:textId="77777777" w:rsidR="00D921A0" w:rsidRDefault="00D921A0" w:rsidP="007F37C2">
            <w:pPr>
              <w:pStyle w:val="NoSpacing"/>
              <w:jc w:val="center"/>
              <w:rPr>
                <w:rFonts w:asciiTheme="minorHAnsi" w:hAnsiTheme="minorHAnsi"/>
              </w:rPr>
            </w:pPr>
            <w:r>
              <w:rPr>
                <w:rFonts w:asciiTheme="minorHAnsi" w:hAnsiTheme="minorHAnsi"/>
              </w:rPr>
              <w:t>4.08</w:t>
            </w:r>
          </w:p>
        </w:tc>
        <w:tc>
          <w:tcPr>
            <w:tcW w:w="1361" w:type="dxa"/>
            <w:tcBorders>
              <w:top w:val="nil"/>
              <w:left w:val="nil"/>
              <w:bottom w:val="nil"/>
              <w:right w:val="nil"/>
            </w:tcBorders>
          </w:tcPr>
          <w:p w14:paraId="2364F669"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150" w:type="dxa"/>
            <w:tcBorders>
              <w:top w:val="nil"/>
              <w:left w:val="nil"/>
              <w:bottom w:val="nil"/>
              <w:right w:val="nil"/>
            </w:tcBorders>
          </w:tcPr>
          <w:p w14:paraId="734DD137" w14:textId="77777777" w:rsidR="00D921A0" w:rsidRDefault="00D921A0" w:rsidP="007F37C2">
            <w:pPr>
              <w:pStyle w:val="NoSpacing"/>
              <w:jc w:val="center"/>
              <w:rPr>
                <w:rFonts w:asciiTheme="minorHAnsi" w:hAnsiTheme="minorHAnsi"/>
              </w:rPr>
            </w:pPr>
            <w:r>
              <w:rPr>
                <w:rFonts w:asciiTheme="minorHAnsi" w:hAnsiTheme="minorHAnsi"/>
              </w:rPr>
              <w:t>0.52</w:t>
            </w:r>
          </w:p>
        </w:tc>
        <w:tc>
          <w:tcPr>
            <w:tcW w:w="1439" w:type="dxa"/>
            <w:tcBorders>
              <w:top w:val="nil"/>
              <w:left w:val="nil"/>
              <w:bottom w:val="nil"/>
              <w:right w:val="nil"/>
            </w:tcBorders>
          </w:tcPr>
          <w:p w14:paraId="0B60183B" w14:textId="77777777" w:rsidR="00D921A0" w:rsidRDefault="00D921A0" w:rsidP="007F37C2">
            <w:pPr>
              <w:pStyle w:val="NoSpacing"/>
              <w:jc w:val="center"/>
              <w:rPr>
                <w:rFonts w:asciiTheme="minorHAnsi" w:hAnsiTheme="minorHAnsi"/>
              </w:rPr>
            </w:pPr>
            <w:r>
              <w:rPr>
                <w:rFonts w:asciiTheme="minorHAnsi" w:hAnsiTheme="minorHAnsi"/>
              </w:rPr>
              <w:t>1.71</w:t>
            </w:r>
          </w:p>
        </w:tc>
        <w:tc>
          <w:tcPr>
            <w:tcW w:w="1361" w:type="dxa"/>
            <w:tcBorders>
              <w:top w:val="nil"/>
              <w:left w:val="nil"/>
              <w:bottom w:val="nil"/>
              <w:right w:val="nil"/>
            </w:tcBorders>
          </w:tcPr>
          <w:p w14:paraId="008E3C9F" w14:textId="77777777" w:rsidR="00D921A0" w:rsidRDefault="00D921A0" w:rsidP="007F37C2">
            <w:pPr>
              <w:pStyle w:val="NoSpacing"/>
              <w:jc w:val="center"/>
              <w:rPr>
                <w:rFonts w:asciiTheme="minorHAnsi" w:hAnsiTheme="minorHAnsi"/>
              </w:rPr>
            </w:pPr>
            <w:r>
              <w:rPr>
                <w:rFonts w:asciiTheme="minorHAnsi" w:hAnsiTheme="minorHAnsi"/>
              </w:rPr>
              <w:t>2.84</w:t>
            </w:r>
          </w:p>
        </w:tc>
        <w:tc>
          <w:tcPr>
            <w:tcW w:w="1267" w:type="dxa"/>
            <w:tcBorders>
              <w:top w:val="nil"/>
              <w:left w:val="nil"/>
              <w:bottom w:val="nil"/>
              <w:right w:val="nil"/>
            </w:tcBorders>
          </w:tcPr>
          <w:p w14:paraId="6BB8412D" w14:textId="77777777" w:rsidR="00D921A0" w:rsidRDefault="00D921A0" w:rsidP="007F37C2">
            <w:pPr>
              <w:pStyle w:val="NoSpacing"/>
              <w:jc w:val="center"/>
              <w:rPr>
                <w:rFonts w:asciiTheme="minorHAnsi" w:hAnsiTheme="minorHAnsi"/>
              </w:rPr>
            </w:pPr>
            <w:r>
              <w:rPr>
                <w:rFonts w:asciiTheme="minorHAnsi" w:hAnsiTheme="minorHAnsi"/>
              </w:rPr>
              <w:t>0.00</w:t>
            </w:r>
          </w:p>
        </w:tc>
        <w:tc>
          <w:tcPr>
            <w:tcW w:w="938" w:type="dxa"/>
            <w:tcBorders>
              <w:top w:val="nil"/>
              <w:left w:val="nil"/>
              <w:bottom w:val="nil"/>
              <w:right w:val="nil"/>
            </w:tcBorders>
          </w:tcPr>
          <w:p w14:paraId="16A95C01" w14:textId="77777777" w:rsidR="00D921A0" w:rsidRDefault="00D921A0" w:rsidP="007F37C2">
            <w:pPr>
              <w:pStyle w:val="NoSpacing"/>
              <w:jc w:val="center"/>
              <w:rPr>
                <w:rFonts w:asciiTheme="minorHAnsi" w:hAnsiTheme="minorHAnsi"/>
              </w:rPr>
            </w:pPr>
            <w:r>
              <w:rPr>
                <w:rFonts w:asciiTheme="minorHAnsi" w:hAnsiTheme="minorHAnsi"/>
              </w:rPr>
              <w:t>0.47</w:t>
            </w:r>
          </w:p>
        </w:tc>
        <w:tc>
          <w:tcPr>
            <w:tcW w:w="1395" w:type="dxa"/>
            <w:tcBorders>
              <w:top w:val="nil"/>
              <w:left w:val="nil"/>
              <w:bottom w:val="nil"/>
              <w:right w:val="nil"/>
            </w:tcBorders>
          </w:tcPr>
          <w:p w14:paraId="7A3B4CBB" w14:textId="77777777" w:rsidR="00D921A0" w:rsidRDefault="00D921A0" w:rsidP="007F37C2">
            <w:pPr>
              <w:pStyle w:val="NoSpacing"/>
              <w:jc w:val="center"/>
              <w:rPr>
                <w:rFonts w:asciiTheme="minorHAnsi" w:hAnsiTheme="minorHAnsi"/>
              </w:rPr>
            </w:pPr>
            <w:r>
              <w:rPr>
                <w:rFonts w:asciiTheme="minorHAnsi" w:hAnsiTheme="minorHAnsi"/>
              </w:rPr>
              <w:t>1.53</w:t>
            </w:r>
          </w:p>
        </w:tc>
      </w:tr>
      <w:tr w:rsidR="00D921A0" w14:paraId="28A6EDFB" w14:textId="77777777" w:rsidTr="007F37C2">
        <w:tc>
          <w:tcPr>
            <w:tcW w:w="703" w:type="dxa"/>
            <w:tcBorders>
              <w:top w:val="nil"/>
              <w:left w:val="nil"/>
              <w:right w:val="nil"/>
            </w:tcBorders>
          </w:tcPr>
          <w:p w14:paraId="00A52BC7" w14:textId="77777777" w:rsidR="00D921A0" w:rsidRDefault="00D921A0" w:rsidP="007F37C2">
            <w:pPr>
              <w:pStyle w:val="NoSpacing"/>
              <w:jc w:val="center"/>
              <w:rPr>
                <w:rFonts w:asciiTheme="minorHAnsi" w:hAnsiTheme="minorHAnsi"/>
              </w:rPr>
            </w:pPr>
            <w:r>
              <w:rPr>
                <w:rFonts w:asciiTheme="minorHAnsi" w:hAnsiTheme="minorHAnsi"/>
              </w:rPr>
              <w:t>2016</w:t>
            </w:r>
          </w:p>
        </w:tc>
        <w:tc>
          <w:tcPr>
            <w:tcW w:w="1366" w:type="dxa"/>
            <w:tcBorders>
              <w:top w:val="nil"/>
              <w:left w:val="nil"/>
              <w:right w:val="nil"/>
            </w:tcBorders>
          </w:tcPr>
          <w:p w14:paraId="5B8D2332"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361" w:type="dxa"/>
            <w:tcBorders>
              <w:top w:val="nil"/>
              <w:left w:val="nil"/>
              <w:right w:val="nil"/>
            </w:tcBorders>
          </w:tcPr>
          <w:p w14:paraId="508C0DF4" w14:textId="77777777" w:rsidR="00D921A0" w:rsidRDefault="00D921A0" w:rsidP="007F37C2">
            <w:pPr>
              <w:pStyle w:val="NoSpacing"/>
              <w:jc w:val="center"/>
              <w:rPr>
                <w:rFonts w:asciiTheme="minorHAnsi" w:hAnsiTheme="minorHAnsi"/>
              </w:rPr>
            </w:pPr>
            <w:r>
              <w:rPr>
                <w:rFonts w:asciiTheme="minorHAnsi" w:hAnsiTheme="minorHAnsi"/>
              </w:rPr>
              <w:t>Unavailable</w:t>
            </w:r>
          </w:p>
        </w:tc>
        <w:tc>
          <w:tcPr>
            <w:tcW w:w="1150" w:type="dxa"/>
            <w:tcBorders>
              <w:top w:val="nil"/>
              <w:left w:val="nil"/>
              <w:right w:val="nil"/>
            </w:tcBorders>
          </w:tcPr>
          <w:p w14:paraId="28003850" w14:textId="77777777" w:rsidR="00D921A0" w:rsidRDefault="00D921A0" w:rsidP="007F37C2">
            <w:pPr>
              <w:pStyle w:val="NoSpacing"/>
              <w:jc w:val="center"/>
              <w:rPr>
                <w:rFonts w:asciiTheme="minorHAnsi" w:hAnsiTheme="minorHAnsi"/>
              </w:rPr>
            </w:pPr>
            <w:r>
              <w:rPr>
                <w:rFonts w:asciiTheme="minorHAnsi" w:hAnsiTheme="minorHAnsi"/>
              </w:rPr>
              <w:t>0.55</w:t>
            </w:r>
          </w:p>
        </w:tc>
        <w:tc>
          <w:tcPr>
            <w:tcW w:w="1439" w:type="dxa"/>
            <w:tcBorders>
              <w:top w:val="nil"/>
              <w:left w:val="nil"/>
              <w:right w:val="nil"/>
            </w:tcBorders>
          </w:tcPr>
          <w:p w14:paraId="2B7D1368" w14:textId="77777777" w:rsidR="00D921A0" w:rsidRDefault="00D921A0" w:rsidP="007F37C2">
            <w:pPr>
              <w:pStyle w:val="NoSpacing"/>
              <w:jc w:val="center"/>
              <w:rPr>
                <w:rFonts w:asciiTheme="minorHAnsi" w:hAnsiTheme="minorHAnsi"/>
              </w:rPr>
            </w:pPr>
            <w:r>
              <w:rPr>
                <w:rFonts w:asciiTheme="minorHAnsi" w:hAnsiTheme="minorHAnsi"/>
              </w:rPr>
              <w:t>2.93</w:t>
            </w:r>
          </w:p>
        </w:tc>
        <w:tc>
          <w:tcPr>
            <w:tcW w:w="1361" w:type="dxa"/>
            <w:tcBorders>
              <w:top w:val="nil"/>
              <w:left w:val="nil"/>
              <w:right w:val="nil"/>
            </w:tcBorders>
          </w:tcPr>
          <w:p w14:paraId="785E350D" w14:textId="77777777" w:rsidR="00D921A0" w:rsidRDefault="00D921A0" w:rsidP="007F37C2">
            <w:pPr>
              <w:pStyle w:val="NoSpacing"/>
              <w:jc w:val="center"/>
              <w:rPr>
                <w:rFonts w:asciiTheme="minorHAnsi" w:hAnsiTheme="minorHAnsi"/>
              </w:rPr>
            </w:pPr>
            <w:r>
              <w:rPr>
                <w:rFonts w:asciiTheme="minorHAnsi" w:hAnsiTheme="minorHAnsi"/>
              </w:rPr>
              <w:t>2.61</w:t>
            </w:r>
          </w:p>
        </w:tc>
        <w:tc>
          <w:tcPr>
            <w:tcW w:w="1267" w:type="dxa"/>
            <w:tcBorders>
              <w:top w:val="nil"/>
              <w:left w:val="nil"/>
              <w:right w:val="nil"/>
            </w:tcBorders>
          </w:tcPr>
          <w:p w14:paraId="51261D5F" w14:textId="77777777" w:rsidR="00D921A0" w:rsidRDefault="00D921A0" w:rsidP="007F37C2">
            <w:pPr>
              <w:pStyle w:val="NoSpacing"/>
              <w:jc w:val="center"/>
              <w:rPr>
                <w:rFonts w:asciiTheme="minorHAnsi" w:hAnsiTheme="minorHAnsi"/>
              </w:rPr>
            </w:pPr>
            <w:r>
              <w:rPr>
                <w:rFonts w:asciiTheme="minorHAnsi" w:hAnsiTheme="minorHAnsi"/>
              </w:rPr>
              <w:t>0.00</w:t>
            </w:r>
          </w:p>
        </w:tc>
        <w:tc>
          <w:tcPr>
            <w:tcW w:w="938" w:type="dxa"/>
            <w:tcBorders>
              <w:top w:val="nil"/>
              <w:left w:val="nil"/>
              <w:right w:val="nil"/>
            </w:tcBorders>
          </w:tcPr>
          <w:p w14:paraId="3E41A3D9" w14:textId="77777777" w:rsidR="00D921A0" w:rsidRDefault="00D921A0" w:rsidP="007F37C2">
            <w:pPr>
              <w:pStyle w:val="NoSpacing"/>
              <w:jc w:val="center"/>
              <w:rPr>
                <w:rFonts w:asciiTheme="minorHAnsi" w:hAnsiTheme="minorHAnsi"/>
              </w:rPr>
            </w:pPr>
            <w:r>
              <w:rPr>
                <w:rFonts w:asciiTheme="minorHAnsi" w:hAnsiTheme="minorHAnsi"/>
              </w:rPr>
              <w:t>1.14</w:t>
            </w:r>
          </w:p>
        </w:tc>
        <w:tc>
          <w:tcPr>
            <w:tcW w:w="1395" w:type="dxa"/>
            <w:tcBorders>
              <w:top w:val="nil"/>
              <w:left w:val="nil"/>
              <w:right w:val="nil"/>
            </w:tcBorders>
          </w:tcPr>
          <w:p w14:paraId="7737899B" w14:textId="77777777" w:rsidR="00D921A0" w:rsidRDefault="00D921A0" w:rsidP="007F37C2">
            <w:pPr>
              <w:pStyle w:val="NoSpacing"/>
              <w:jc w:val="center"/>
              <w:rPr>
                <w:rFonts w:asciiTheme="minorHAnsi" w:hAnsiTheme="minorHAnsi"/>
              </w:rPr>
            </w:pPr>
            <w:r>
              <w:rPr>
                <w:rFonts w:asciiTheme="minorHAnsi" w:hAnsiTheme="minorHAnsi"/>
              </w:rPr>
              <w:t>1.08</w:t>
            </w:r>
          </w:p>
        </w:tc>
      </w:tr>
      <w:tr w:rsidR="00D921A0" w14:paraId="6ACF446A" w14:textId="77777777" w:rsidTr="007F37C2">
        <w:tc>
          <w:tcPr>
            <w:tcW w:w="10980" w:type="dxa"/>
            <w:gridSpan w:val="9"/>
            <w:tcBorders>
              <w:left w:val="nil"/>
              <w:bottom w:val="single" w:sz="4" w:space="0" w:color="auto"/>
              <w:right w:val="nil"/>
            </w:tcBorders>
          </w:tcPr>
          <w:p w14:paraId="2704749A" w14:textId="77777777" w:rsidR="00D921A0" w:rsidRPr="00ED6989" w:rsidRDefault="00D921A0" w:rsidP="007F37C2">
            <w:pPr>
              <w:pStyle w:val="NoSpacing"/>
              <w:rPr>
                <w:rFonts w:asciiTheme="minorHAnsi" w:hAnsiTheme="minorHAnsi"/>
              </w:rPr>
            </w:pPr>
            <w:r w:rsidRPr="004D3E5E">
              <w:rPr>
                <w:rFonts w:asciiTheme="minorHAnsi" w:hAnsiTheme="minorHAnsi"/>
                <w:vertAlign w:val="superscript"/>
              </w:rPr>
              <w:t>a</w:t>
            </w:r>
            <w:r w:rsidRPr="00ED6989">
              <w:rPr>
                <w:rFonts w:asciiTheme="minorHAnsi" w:hAnsiTheme="minorHAnsi"/>
              </w:rPr>
              <w:t xml:space="preserve"> </w:t>
            </w:r>
            <w:r>
              <w:rPr>
                <w:rFonts w:asciiTheme="minorHAnsi" w:hAnsiTheme="minorHAnsi"/>
              </w:rPr>
              <w:t>Laurentian did not disclose application numbers when those numbers were equal to or less than five (5). A range of possible proportions is therefore listed for these years.</w:t>
            </w:r>
          </w:p>
          <w:p w14:paraId="70F9F72F" w14:textId="77777777" w:rsidR="00D921A0" w:rsidRDefault="00D921A0" w:rsidP="007F37C2">
            <w:pPr>
              <w:pStyle w:val="NoSpacing"/>
              <w:rPr>
                <w:rFonts w:asciiTheme="minorHAnsi" w:hAnsiTheme="minorHAnsi"/>
              </w:rPr>
            </w:pPr>
            <w:r>
              <w:rPr>
                <w:rFonts w:asciiTheme="minorHAnsi" w:hAnsiTheme="minorHAnsi"/>
                <w:vertAlign w:val="superscript"/>
              </w:rPr>
              <w:t>b</w:t>
            </w:r>
            <w:r>
              <w:rPr>
                <w:rFonts w:asciiTheme="minorHAnsi" w:hAnsiTheme="minorHAnsi"/>
              </w:rPr>
              <w:t xml:space="preserve"> Data were not available for 2012 or 2014 for Queen’s.</w:t>
            </w:r>
          </w:p>
          <w:p w14:paraId="408CAB9A" w14:textId="77777777" w:rsidR="00D921A0" w:rsidRDefault="00D921A0" w:rsidP="007F37C2">
            <w:pPr>
              <w:pStyle w:val="NoSpacing"/>
              <w:rPr>
                <w:rFonts w:asciiTheme="minorHAnsi" w:hAnsiTheme="minorHAnsi"/>
              </w:rPr>
            </w:pPr>
            <w:r>
              <w:rPr>
                <w:rFonts w:asciiTheme="minorHAnsi" w:hAnsiTheme="minorHAnsi"/>
                <w:vertAlign w:val="superscript"/>
              </w:rPr>
              <w:t>c</w:t>
            </w:r>
            <w:r>
              <w:rPr>
                <w:rFonts w:asciiTheme="minorHAnsi" w:hAnsiTheme="minorHAnsi"/>
              </w:rPr>
              <w:t xml:space="preserve"> York reported consecutive and concurrent participation rates for every year except 2015. In 2015, York only received applications for their consecutive teacher education program, and so the 2015 data presented in this table</w:t>
            </w:r>
            <w:r w:rsidR="00C1501A">
              <w:rPr>
                <w:rFonts w:asciiTheme="minorHAnsi" w:hAnsiTheme="minorHAnsi"/>
              </w:rPr>
              <w:t xml:space="preserve"> </w:t>
            </w:r>
            <w:r>
              <w:rPr>
                <w:rFonts w:asciiTheme="minorHAnsi" w:hAnsiTheme="minorHAnsi"/>
              </w:rPr>
              <w:t xml:space="preserve">represent participation rates for only their consecutive program. </w:t>
            </w:r>
          </w:p>
          <w:p w14:paraId="6FA01194" w14:textId="77777777" w:rsidR="00D921A0" w:rsidRDefault="00D921A0" w:rsidP="007F37C2">
            <w:pPr>
              <w:pStyle w:val="NoSpacing"/>
              <w:rPr>
                <w:rFonts w:asciiTheme="minorHAnsi" w:hAnsiTheme="minorHAnsi"/>
              </w:rPr>
            </w:pPr>
            <w:r w:rsidRPr="00F2603B">
              <w:rPr>
                <w:rFonts w:asciiTheme="minorHAnsi" w:hAnsiTheme="minorHAnsi"/>
                <w:vertAlign w:val="superscript"/>
              </w:rPr>
              <w:t>d</w:t>
            </w:r>
            <w:r>
              <w:rPr>
                <w:rFonts w:asciiTheme="minorHAnsi" w:hAnsiTheme="minorHAnsi"/>
              </w:rPr>
              <w:t xml:space="preserve"> Our colleagues at UOIT reported that less than 3 (i.e., 0-2) self-declaring Aboriginal students accepted their offer of admission in 2013. Precise numbers were reported for the remaining years.</w:t>
            </w:r>
          </w:p>
        </w:tc>
      </w:tr>
    </w:tbl>
    <w:p w14:paraId="2C8074D8" w14:textId="77777777" w:rsidR="00932D7D" w:rsidRDefault="00932D7D" w:rsidP="001813A7">
      <w:pPr>
        <w:pStyle w:val="NoSpacing"/>
        <w:rPr>
          <w:rFonts w:asciiTheme="minorHAnsi" w:hAnsiTheme="minorHAnsi"/>
        </w:rPr>
      </w:pPr>
    </w:p>
    <w:p w14:paraId="570F5051" w14:textId="77777777" w:rsidR="005A1476" w:rsidRDefault="005A1476">
      <w:pPr>
        <w:rPr>
          <w:rFonts w:asciiTheme="minorHAnsi" w:hAnsiTheme="minorHAnsi"/>
        </w:rPr>
      </w:pPr>
      <w:r>
        <w:rPr>
          <w:rFonts w:asciiTheme="minorHAnsi" w:hAnsiTheme="minorHAnsi"/>
        </w:rPr>
        <w:br w:type="page"/>
      </w:r>
    </w:p>
    <w:p w14:paraId="56DBE4A6" w14:textId="2CFA988E" w:rsidR="006335F3" w:rsidRDefault="0074138F" w:rsidP="0074138F">
      <w:pPr>
        <w:pStyle w:val="NoSpacing"/>
        <w:spacing w:line="480" w:lineRule="auto"/>
        <w:rPr>
          <w:rFonts w:asciiTheme="minorHAnsi" w:hAnsiTheme="minorHAnsi"/>
        </w:rPr>
      </w:pPr>
      <w:r>
        <w:rPr>
          <w:rFonts w:asciiTheme="minorHAnsi" w:hAnsiTheme="minorHAnsi"/>
        </w:rPr>
        <w:lastRenderedPageBreak/>
        <w:t xml:space="preserve">proportion of those students who ultimately accept their offer has been decreasing (Holden &amp; Kitchen, 2017). While it is unclear why Aboriginal applicants have become less likely to accept offers to York’s program, these data point to the reality that the number of underrepresented students depends on more than the number of those students who are offered entry into a program. </w:t>
      </w:r>
      <w:r w:rsidR="00A52045">
        <w:rPr>
          <w:rFonts w:asciiTheme="minorHAnsi" w:hAnsiTheme="minorHAnsi"/>
        </w:rPr>
        <w:t xml:space="preserve">Nipissing’s </w:t>
      </w:r>
      <w:r w:rsidR="009D6093">
        <w:rPr>
          <w:rFonts w:asciiTheme="minorHAnsi" w:hAnsiTheme="minorHAnsi"/>
        </w:rPr>
        <w:t xml:space="preserve">data – now the second lowest of those universities that track Aboriginal applications – reinforce the York example. Nipissing has consistently </w:t>
      </w:r>
      <w:proofErr w:type="gramStart"/>
      <w:r w:rsidR="009D6093">
        <w:rPr>
          <w:rFonts w:asciiTheme="minorHAnsi" w:hAnsiTheme="minorHAnsi"/>
        </w:rPr>
        <w:t>offered admission</w:t>
      </w:r>
      <w:proofErr w:type="gramEnd"/>
      <w:r w:rsidR="009D6093">
        <w:rPr>
          <w:rFonts w:asciiTheme="minorHAnsi" w:hAnsiTheme="minorHAnsi"/>
        </w:rPr>
        <w:t xml:space="preserve"> to at least 80% of its Aboriginal applicants, and in most years, at least 75% of Aboriginal students who received an offer went on to accept that offer (</w:t>
      </w:r>
      <w:r w:rsidR="00090ACF">
        <w:rPr>
          <w:rFonts w:asciiTheme="minorHAnsi" w:hAnsiTheme="minorHAnsi"/>
        </w:rPr>
        <w:t>Holden &amp; Kitchen, 2017</w:t>
      </w:r>
      <w:r w:rsidR="009D6093">
        <w:rPr>
          <w:rFonts w:asciiTheme="minorHAnsi" w:hAnsiTheme="minorHAnsi"/>
        </w:rPr>
        <w:t xml:space="preserve">). </w:t>
      </w:r>
      <w:r w:rsidR="003C48CE">
        <w:rPr>
          <w:rFonts w:asciiTheme="minorHAnsi" w:hAnsiTheme="minorHAnsi"/>
        </w:rPr>
        <w:t xml:space="preserve">These higher offer and acceptance rates have done little to improve representation rates, however, because of the consistently low rate of application. The program has not received more than nine self-identifying Aboriginal applicants in the last five years. </w:t>
      </w:r>
      <w:r w:rsidR="009D3B58">
        <w:rPr>
          <w:rFonts w:asciiTheme="minorHAnsi" w:hAnsiTheme="minorHAnsi"/>
        </w:rPr>
        <w:t xml:space="preserve">UOIT, similarly, has had no self-identifying applicants enter their program in four of the past five years. </w:t>
      </w:r>
      <w:r w:rsidR="00883114">
        <w:rPr>
          <w:rFonts w:asciiTheme="minorHAnsi" w:hAnsiTheme="minorHAnsi"/>
        </w:rPr>
        <w:t xml:space="preserve">This begs two </w:t>
      </w:r>
      <w:proofErr w:type="gramStart"/>
      <w:r w:rsidR="00883114">
        <w:rPr>
          <w:rFonts w:asciiTheme="minorHAnsi" w:hAnsiTheme="minorHAnsi"/>
        </w:rPr>
        <w:t>fairly obvious</w:t>
      </w:r>
      <w:proofErr w:type="gramEnd"/>
      <w:r w:rsidR="00883114">
        <w:rPr>
          <w:rFonts w:asciiTheme="minorHAnsi" w:hAnsiTheme="minorHAnsi"/>
        </w:rPr>
        <w:t xml:space="preserve"> questions: why are Aboriginal students not applying, and if they are, why aren’t they self-identifying? </w:t>
      </w:r>
      <w:r w:rsidR="009D6093">
        <w:rPr>
          <w:rFonts w:asciiTheme="minorHAnsi" w:hAnsiTheme="minorHAnsi"/>
        </w:rPr>
        <w:t xml:space="preserve"> </w:t>
      </w:r>
      <w:r w:rsidR="006335F3">
        <w:rPr>
          <w:rFonts w:asciiTheme="minorHAnsi" w:hAnsiTheme="minorHAnsi"/>
        </w:rPr>
        <w:tab/>
      </w:r>
    </w:p>
    <w:p w14:paraId="3BBB20CE" w14:textId="653D0C3F" w:rsidR="0086606C" w:rsidRDefault="006335F3" w:rsidP="0074138F">
      <w:pPr>
        <w:pStyle w:val="NoSpacing"/>
        <w:spacing w:line="480" w:lineRule="auto"/>
        <w:rPr>
          <w:rFonts w:asciiTheme="minorHAnsi" w:hAnsiTheme="minorHAnsi"/>
        </w:rPr>
      </w:pPr>
      <w:r>
        <w:rPr>
          <w:rFonts w:asciiTheme="minorHAnsi" w:hAnsiTheme="minorHAnsi"/>
        </w:rPr>
        <w:tab/>
        <w:t xml:space="preserve">We are unable to assess why Aboriginal participation rates remain low. Three possibilities exist: Aboriginal peoples may be choosing not to apply; they may be choosing to apply but apply to programs where their participation is not tracked; or they are applying but choosing not to self-identify. </w:t>
      </w:r>
      <w:r w:rsidR="008D4B60">
        <w:rPr>
          <w:rFonts w:asciiTheme="minorHAnsi" w:hAnsiTheme="minorHAnsi"/>
        </w:rPr>
        <w:t xml:space="preserve">This is not to suggest that Ontario’s universities are not working to increase access for students of Aboriginal descent. Rather, we contend that this participation gap identifies an area of improvement so that students of Aboriginal descent may be better represented in our programs and in the profession. </w:t>
      </w:r>
      <w:r w:rsidR="00425B41">
        <w:rPr>
          <w:rFonts w:asciiTheme="minorHAnsi" w:hAnsiTheme="minorHAnsi"/>
        </w:rPr>
        <w:t xml:space="preserve">Since low Aboriginal participation rates are at least in part due to low application rates, simply increasing the number of spots available for </w:t>
      </w:r>
      <w:r w:rsidR="00425B41">
        <w:rPr>
          <w:rFonts w:asciiTheme="minorHAnsi" w:hAnsiTheme="minorHAnsi"/>
        </w:rPr>
        <w:lastRenderedPageBreak/>
        <w:t xml:space="preserve">students of Aboriginal descent will not increase the number of Aboriginal students in our programs. The University of Ottawa, for example, reserves 2% of their program seats for students of Aboriginal descent. While participation rates at Ottawa have improved noticeably since the re-opening of their Aboriginal Teacher Education Program (or ATEP), only 1.14% of students entering the program self-identified as Aboriginal. Thus, </w:t>
      </w:r>
      <w:r w:rsidR="003F223A">
        <w:rPr>
          <w:rFonts w:asciiTheme="minorHAnsi" w:hAnsiTheme="minorHAnsi"/>
        </w:rPr>
        <w:t xml:space="preserve">additional strategies are necessary to ensure that Aboriginal students </w:t>
      </w:r>
      <w:proofErr w:type="gramStart"/>
      <w:r w:rsidR="003F223A">
        <w:rPr>
          <w:rFonts w:asciiTheme="minorHAnsi" w:hAnsiTheme="minorHAnsi"/>
        </w:rPr>
        <w:t>are able to</w:t>
      </w:r>
      <w:proofErr w:type="gramEnd"/>
      <w:r w:rsidR="003F223A">
        <w:rPr>
          <w:rFonts w:asciiTheme="minorHAnsi" w:hAnsiTheme="minorHAnsi"/>
        </w:rPr>
        <w:t xml:space="preserve"> participate in our programs in rates that reflect their share of the population. Teacher educators would therefore do well to examine the successes offered by Lakehead, Queen’s, and Trent</w:t>
      </w:r>
      <w:r w:rsidR="000E280C">
        <w:rPr>
          <w:rFonts w:asciiTheme="minorHAnsi" w:hAnsiTheme="minorHAnsi"/>
        </w:rPr>
        <w:t>.</w:t>
      </w:r>
      <w:r w:rsidR="003F223A">
        <w:rPr>
          <w:rFonts w:asciiTheme="minorHAnsi" w:hAnsiTheme="minorHAnsi"/>
        </w:rPr>
        <w:t xml:space="preserve"> </w:t>
      </w:r>
      <w:r w:rsidR="00093612">
        <w:rPr>
          <w:rFonts w:asciiTheme="minorHAnsi" w:hAnsiTheme="minorHAnsi"/>
        </w:rPr>
        <w:t xml:space="preserve">Participation rates at these institutions suggest that their access initiatives are successfully contributing to </w:t>
      </w:r>
      <w:r w:rsidR="005C72B5">
        <w:rPr>
          <w:rFonts w:asciiTheme="minorHAnsi" w:hAnsiTheme="minorHAnsi"/>
        </w:rPr>
        <w:t xml:space="preserve">increased </w:t>
      </w:r>
      <w:r w:rsidR="00093612">
        <w:rPr>
          <w:rFonts w:asciiTheme="minorHAnsi" w:hAnsiTheme="minorHAnsi"/>
        </w:rPr>
        <w:t>Aboriginal rates of representation in our programs.</w:t>
      </w:r>
    </w:p>
    <w:p w14:paraId="650CC932" w14:textId="720BCC0A" w:rsidR="00FC1B50" w:rsidRDefault="00FC1B50" w:rsidP="0074138F">
      <w:pPr>
        <w:pStyle w:val="NoSpacing"/>
        <w:spacing w:line="480" w:lineRule="auto"/>
        <w:rPr>
          <w:rFonts w:asciiTheme="minorHAnsi" w:hAnsiTheme="minorHAnsi"/>
          <w:b/>
        </w:rPr>
      </w:pPr>
      <w:r>
        <w:rPr>
          <w:rFonts w:asciiTheme="minorHAnsi" w:hAnsiTheme="minorHAnsi"/>
          <w:b/>
        </w:rPr>
        <w:t>First-Generation Students</w:t>
      </w:r>
    </w:p>
    <w:p w14:paraId="3A3F63DD" w14:textId="499F8A4D" w:rsidR="005A1476" w:rsidRDefault="00FC1B50" w:rsidP="0074138F">
      <w:pPr>
        <w:pStyle w:val="NoSpacing"/>
        <w:spacing w:line="480" w:lineRule="auto"/>
        <w:rPr>
          <w:rFonts w:asciiTheme="minorHAnsi" w:hAnsiTheme="minorHAnsi"/>
        </w:rPr>
      </w:pPr>
      <w:r>
        <w:rPr>
          <w:rFonts w:asciiTheme="minorHAnsi" w:hAnsiTheme="minorHAnsi"/>
        </w:rPr>
        <w:tab/>
        <w:t>Unlike Aboriginal applicants, first-generation students are only tracked by three of Ontario’s teacher education programs. These data are presented in Table 2. Because of wide variations between proportions at individual institutions, it is difficult to make any province-wide statements about the admissions rates for first-generation students in teacher education. Indeed, first-generation students are between 9.7 and 60 times more represe</w:t>
      </w:r>
      <w:r w:rsidR="00996B1E">
        <w:rPr>
          <w:rFonts w:asciiTheme="minorHAnsi" w:hAnsiTheme="minorHAnsi"/>
        </w:rPr>
        <w:t>nted at Lakehead than at Trent – a variation in population that makes province-wide generalizations untenable.</w:t>
      </w:r>
    </w:p>
    <w:p w14:paraId="33A52F52" w14:textId="0BCB4826" w:rsidR="005A1476" w:rsidRDefault="005A1476" w:rsidP="0074138F">
      <w:pPr>
        <w:pStyle w:val="NoSpacing"/>
        <w:spacing w:line="480" w:lineRule="auto"/>
        <w:ind w:firstLine="720"/>
        <w:rPr>
          <w:rFonts w:asciiTheme="minorHAnsi" w:hAnsiTheme="minorHAnsi"/>
        </w:rPr>
      </w:pPr>
      <w:r>
        <w:rPr>
          <w:rFonts w:asciiTheme="minorHAnsi" w:hAnsiTheme="minorHAnsi"/>
        </w:rPr>
        <w:t xml:space="preserve">Despite these limitations, the data provided by Trent may be of </w:t>
      </w:r>
      <w:proofErr w:type="gramStart"/>
      <w:r>
        <w:rPr>
          <w:rFonts w:asciiTheme="minorHAnsi" w:hAnsiTheme="minorHAnsi"/>
        </w:rPr>
        <w:t>particular interest</w:t>
      </w:r>
      <w:proofErr w:type="gramEnd"/>
      <w:r>
        <w:rPr>
          <w:rFonts w:asciiTheme="minorHAnsi" w:hAnsiTheme="minorHAnsi"/>
        </w:rPr>
        <w:t xml:space="preserve"> to stakeholders concerned with first-generation representation. Since 2013, the proportion of Trent students self-identifying as first-generation has increased noticeably. When comparing 2016 to 2014, self-identification rates are four times as high at the application phase, and nearly nine times as high at the acceptance phase. As we discuss in our broader report (</w:t>
      </w:r>
      <w:r w:rsidR="00090ACF">
        <w:rPr>
          <w:rFonts w:asciiTheme="minorHAnsi" w:hAnsiTheme="minorHAnsi"/>
        </w:rPr>
        <w:t xml:space="preserve">Holden </w:t>
      </w:r>
      <w:r>
        <w:rPr>
          <w:rFonts w:asciiTheme="minorHAnsi" w:hAnsiTheme="minorHAnsi"/>
        </w:rPr>
        <w:br w:type="page"/>
      </w:r>
    </w:p>
    <w:p w14:paraId="63152CE3" w14:textId="77777777" w:rsidR="0027700F" w:rsidRDefault="0027700F" w:rsidP="0027700F">
      <w:pPr>
        <w:pStyle w:val="NoSpacing"/>
        <w:rPr>
          <w:rFonts w:asciiTheme="minorHAnsi" w:hAnsiTheme="minorHAnsi"/>
        </w:rPr>
      </w:pPr>
      <w:r>
        <w:rPr>
          <w:rFonts w:asciiTheme="minorHAnsi" w:hAnsiTheme="minorHAnsi"/>
        </w:rPr>
        <w:lastRenderedPageBreak/>
        <w:t>Table 2</w:t>
      </w:r>
    </w:p>
    <w:p w14:paraId="3E67E0F9" w14:textId="77777777" w:rsidR="0027700F" w:rsidRDefault="0027700F" w:rsidP="0027700F">
      <w:pPr>
        <w:pStyle w:val="NoSpacing"/>
        <w:rPr>
          <w:rFonts w:asciiTheme="minorHAnsi" w:hAnsiTheme="minorHAnsi"/>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57"/>
        <w:gridCol w:w="2157"/>
        <w:gridCol w:w="2158"/>
        <w:gridCol w:w="2158"/>
      </w:tblGrid>
      <w:tr w:rsidR="0027700F" w14:paraId="6C93512B" w14:textId="77777777" w:rsidTr="00BF4D76">
        <w:tc>
          <w:tcPr>
            <w:tcW w:w="8630" w:type="dxa"/>
            <w:gridSpan w:val="4"/>
          </w:tcPr>
          <w:p w14:paraId="322E8880" w14:textId="77777777" w:rsidR="0027700F" w:rsidRDefault="0027700F" w:rsidP="00BF4D76">
            <w:pPr>
              <w:pStyle w:val="NoSpacing"/>
              <w:rPr>
                <w:rFonts w:asciiTheme="minorHAnsi" w:hAnsiTheme="minorHAnsi"/>
                <w:i/>
              </w:rPr>
            </w:pPr>
            <w:r>
              <w:rPr>
                <w:rFonts w:asciiTheme="minorHAnsi" w:hAnsiTheme="minorHAnsi"/>
                <w:i/>
              </w:rPr>
              <w:t xml:space="preserve">Changes in the </w:t>
            </w:r>
            <w:r w:rsidRPr="00501B5D">
              <w:rPr>
                <w:rFonts w:asciiTheme="minorHAnsi" w:hAnsiTheme="minorHAnsi"/>
                <w:i/>
              </w:rPr>
              <w:t xml:space="preserve">Proportion of </w:t>
            </w:r>
            <w:r>
              <w:rPr>
                <w:rFonts w:asciiTheme="minorHAnsi" w:hAnsiTheme="minorHAnsi"/>
                <w:i/>
              </w:rPr>
              <w:t>First-</w:t>
            </w:r>
            <w:r w:rsidRPr="00501B5D">
              <w:rPr>
                <w:rFonts w:asciiTheme="minorHAnsi" w:hAnsiTheme="minorHAnsi"/>
                <w:i/>
              </w:rPr>
              <w:t>Generation Students</w:t>
            </w:r>
            <w:r>
              <w:rPr>
                <w:rFonts w:asciiTheme="minorHAnsi" w:hAnsiTheme="minorHAnsi"/>
                <w:i/>
              </w:rPr>
              <w:t xml:space="preserve"> by Institution</w:t>
            </w:r>
          </w:p>
          <w:p w14:paraId="3E375A63" w14:textId="77777777" w:rsidR="0027700F" w:rsidRPr="00501B5D" w:rsidRDefault="0027700F" w:rsidP="00BF4D76">
            <w:pPr>
              <w:pStyle w:val="NoSpacing"/>
              <w:rPr>
                <w:rFonts w:asciiTheme="minorHAnsi" w:hAnsiTheme="minorHAnsi"/>
                <w:i/>
              </w:rPr>
            </w:pPr>
          </w:p>
        </w:tc>
      </w:tr>
      <w:tr w:rsidR="0027700F" w14:paraId="426399E4" w14:textId="77777777" w:rsidTr="00BF4D76">
        <w:tc>
          <w:tcPr>
            <w:tcW w:w="8630" w:type="dxa"/>
            <w:gridSpan w:val="4"/>
            <w:tcBorders>
              <w:bottom w:val="single" w:sz="4" w:space="0" w:color="auto"/>
            </w:tcBorders>
          </w:tcPr>
          <w:p w14:paraId="6A9DCA37" w14:textId="77777777" w:rsidR="0027700F" w:rsidRDefault="0027700F" w:rsidP="00BF4D76">
            <w:pPr>
              <w:pStyle w:val="NoSpacing"/>
              <w:jc w:val="center"/>
              <w:rPr>
                <w:rFonts w:asciiTheme="minorHAnsi" w:hAnsiTheme="minorHAnsi"/>
              </w:rPr>
            </w:pPr>
            <w:r>
              <w:rPr>
                <w:rFonts w:asciiTheme="minorHAnsi" w:hAnsiTheme="minorHAnsi"/>
              </w:rPr>
              <w:t>Of all Applicants (%)</w:t>
            </w:r>
          </w:p>
        </w:tc>
      </w:tr>
      <w:tr w:rsidR="0027700F" w14:paraId="0E1048AD" w14:textId="77777777" w:rsidTr="00BF4D76">
        <w:tc>
          <w:tcPr>
            <w:tcW w:w="2157" w:type="dxa"/>
            <w:tcBorders>
              <w:top w:val="single" w:sz="4" w:space="0" w:color="auto"/>
              <w:bottom w:val="nil"/>
              <w:right w:val="nil"/>
            </w:tcBorders>
          </w:tcPr>
          <w:p w14:paraId="0213879D" w14:textId="77777777" w:rsidR="0027700F" w:rsidRPr="00DC3E7B" w:rsidRDefault="0027700F" w:rsidP="00BF4D76">
            <w:pPr>
              <w:pStyle w:val="NoSpacing"/>
              <w:jc w:val="center"/>
              <w:rPr>
                <w:rFonts w:asciiTheme="minorHAnsi" w:hAnsiTheme="minorHAnsi"/>
                <w:u w:val="single"/>
              </w:rPr>
            </w:pPr>
            <w:r w:rsidRPr="00DC3E7B">
              <w:rPr>
                <w:rFonts w:asciiTheme="minorHAnsi" w:hAnsiTheme="minorHAnsi"/>
                <w:u w:val="single"/>
              </w:rPr>
              <w:t>Year</w:t>
            </w:r>
          </w:p>
        </w:tc>
        <w:tc>
          <w:tcPr>
            <w:tcW w:w="2157" w:type="dxa"/>
            <w:tcBorders>
              <w:top w:val="single" w:sz="4" w:space="0" w:color="auto"/>
              <w:left w:val="nil"/>
              <w:bottom w:val="nil"/>
              <w:right w:val="nil"/>
            </w:tcBorders>
          </w:tcPr>
          <w:p w14:paraId="424645F6" w14:textId="77777777" w:rsidR="0027700F" w:rsidRPr="00DC3E7B" w:rsidRDefault="0027700F" w:rsidP="00BF4D76">
            <w:pPr>
              <w:pStyle w:val="NoSpacing"/>
              <w:jc w:val="center"/>
              <w:rPr>
                <w:rFonts w:asciiTheme="minorHAnsi" w:hAnsiTheme="minorHAnsi"/>
                <w:u w:val="single"/>
              </w:rPr>
            </w:pPr>
            <w:r w:rsidRPr="00DC3E7B">
              <w:rPr>
                <w:rFonts w:asciiTheme="minorHAnsi" w:hAnsiTheme="minorHAnsi"/>
                <w:u w:val="single"/>
              </w:rPr>
              <w:t>Lakehead</w:t>
            </w:r>
          </w:p>
        </w:tc>
        <w:tc>
          <w:tcPr>
            <w:tcW w:w="2158" w:type="dxa"/>
            <w:tcBorders>
              <w:top w:val="single" w:sz="4" w:space="0" w:color="auto"/>
              <w:left w:val="nil"/>
              <w:bottom w:val="nil"/>
              <w:right w:val="nil"/>
            </w:tcBorders>
          </w:tcPr>
          <w:p w14:paraId="1CF6C37E" w14:textId="77777777" w:rsidR="0027700F" w:rsidRPr="00DC3E7B" w:rsidRDefault="0027700F" w:rsidP="00BF4D76">
            <w:pPr>
              <w:pStyle w:val="NoSpacing"/>
              <w:jc w:val="center"/>
              <w:rPr>
                <w:rFonts w:asciiTheme="minorHAnsi" w:hAnsiTheme="minorHAnsi"/>
                <w:u w:val="single"/>
              </w:rPr>
            </w:pPr>
            <w:r w:rsidRPr="00DC3E7B">
              <w:rPr>
                <w:rFonts w:asciiTheme="minorHAnsi" w:hAnsiTheme="minorHAnsi"/>
                <w:u w:val="single"/>
              </w:rPr>
              <w:t>Laurentian</w:t>
            </w:r>
          </w:p>
        </w:tc>
        <w:tc>
          <w:tcPr>
            <w:tcW w:w="2158" w:type="dxa"/>
            <w:tcBorders>
              <w:top w:val="single" w:sz="4" w:space="0" w:color="auto"/>
              <w:left w:val="nil"/>
              <w:bottom w:val="nil"/>
            </w:tcBorders>
          </w:tcPr>
          <w:p w14:paraId="41B66A14" w14:textId="77777777" w:rsidR="0027700F" w:rsidRPr="00DC3E7B" w:rsidRDefault="0027700F" w:rsidP="00BF4D76">
            <w:pPr>
              <w:pStyle w:val="NoSpacing"/>
              <w:jc w:val="center"/>
              <w:rPr>
                <w:rFonts w:asciiTheme="minorHAnsi" w:hAnsiTheme="minorHAnsi"/>
                <w:u w:val="single"/>
              </w:rPr>
            </w:pPr>
            <w:r w:rsidRPr="00DC3E7B">
              <w:rPr>
                <w:rFonts w:asciiTheme="minorHAnsi" w:hAnsiTheme="minorHAnsi"/>
                <w:u w:val="single"/>
              </w:rPr>
              <w:t>Trent</w:t>
            </w:r>
          </w:p>
        </w:tc>
      </w:tr>
      <w:tr w:rsidR="0027700F" w14:paraId="1A8395C3" w14:textId="77777777" w:rsidTr="00BF4D76">
        <w:tc>
          <w:tcPr>
            <w:tcW w:w="2157" w:type="dxa"/>
            <w:tcBorders>
              <w:top w:val="nil"/>
              <w:bottom w:val="nil"/>
              <w:right w:val="nil"/>
            </w:tcBorders>
          </w:tcPr>
          <w:p w14:paraId="21C0CC4C" w14:textId="77777777" w:rsidR="0027700F" w:rsidRDefault="0027700F" w:rsidP="00BF4D76">
            <w:pPr>
              <w:pStyle w:val="NoSpacing"/>
              <w:jc w:val="center"/>
              <w:rPr>
                <w:rFonts w:asciiTheme="minorHAnsi" w:hAnsiTheme="minorHAnsi"/>
              </w:rPr>
            </w:pPr>
            <w:r>
              <w:rPr>
                <w:rFonts w:asciiTheme="minorHAnsi" w:hAnsiTheme="minorHAnsi"/>
              </w:rPr>
              <w:t>2012</w:t>
            </w:r>
          </w:p>
        </w:tc>
        <w:tc>
          <w:tcPr>
            <w:tcW w:w="2157" w:type="dxa"/>
            <w:tcBorders>
              <w:top w:val="nil"/>
              <w:left w:val="nil"/>
              <w:bottom w:val="nil"/>
              <w:right w:val="nil"/>
            </w:tcBorders>
          </w:tcPr>
          <w:p w14:paraId="7C6A42F7" w14:textId="77777777" w:rsidR="0027700F" w:rsidRDefault="0027700F" w:rsidP="00BF4D76">
            <w:pPr>
              <w:pStyle w:val="NoSpacing"/>
              <w:jc w:val="center"/>
              <w:rPr>
                <w:rFonts w:asciiTheme="minorHAnsi" w:hAnsiTheme="minorHAnsi"/>
              </w:rPr>
            </w:pPr>
            <w:proofErr w:type="spellStart"/>
            <w:r>
              <w:rPr>
                <w:rFonts w:asciiTheme="minorHAnsi" w:hAnsiTheme="minorHAnsi"/>
              </w:rPr>
              <w:t>Unavailable</w:t>
            </w:r>
            <w:r w:rsidRPr="004D3E5E">
              <w:rPr>
                <w:rFonts w:asciiTheme="minorHAnsi" w:hAnsiTheme="minorHAnsi"/>
                <w:vertAlign w:val="superscript"/>
              </w:rPr>
              <w:t>a</w:t>
            </w:r>
            <w:proofErr w:type="spellEnd"/>
          </w:p>
        </w:tc>
        <w:tc>
          <w:tcPr>
            <w:tcW w:w="2158" w:type="dxa"/>
            <w:tcBorders>
              <w:top w:val="nil"/>
              <w:left w:val="nil"/>
              <w:bottom w:val="nil"/>
              <w:right w:val="nil"/>
            </w:tcBorders>
          </w:tcPr>
          <w:p w14:paraId="13980940" w14:textId="77777777" w:rsidR="0027700F" w:rsidRDefault="0027700F" w:rsidP="00BF4D76">
            <w:pPr>
              <w:pStyle w:val="NoSpacing"/>
              <w:jc w:val="center"/>
              <w:rPr>
                <w:rFonts w:asciiTheme="minorHAnsi" w:hAnsiTheme="minorHAnsi"/>
              </w:rPr>
            </w:pPr>
            <w:r>
              <w:rPr>
                <w:rFonts w:asciiTheme="minorHAnsi" w:hAnsiTheme="minorHAnsi"/>
              </w:rPr>
              <w:t>9.56</w:t>
            </w:r>
          </w:p>
        </w:tc>
        <w:tc>
          <w:tcPr>
            <w:tcW w:w="2158" w:type="dxa"/>
            <w:tcBorders>
              <w:top w:val="nil"/>
              <w:left w:val="nil"/>
              <w:bottom w:val="nil"/>
            </w:tcBorders>
          </w:tcPr>
          <w:p w14:paraId="4AA7981E" w14:textId="77777777" w:rsidR="0027700F" w:rsidRDefault="0027700F" w:rsidP="00BF4D76">
            <w:pPr>
              <w:pStyle w:val="NoSpacing"/>
              <w:jc w:val="center"/>
              <w:rPr>
                <w:rFonts w:asciiTheme="minorHAnsi" w:hAnsiTheme="minorHAnsi"/>
              </w:rPr>
            </w:pPr>
            <w:proofErr w:type="spellStart"/>
            <w:r>
              <w:rPr>
                <w:rFonts w:asciiTheme="minorHAnsi" w:hAnsiTheme="minorHAnsi"/>
              </w:rPr>
              <w:t>Unavailable</w:t>
            </w:r>
            <w:r w:rsidRPr="004D3E5E">
              <w:rPr>
                <w:rFonts w:asciiTheme="minorHAnsi" w:hAnsiTheme="minorHAnsi"/>
                <w:vertAlign w:val="superscript"/>
              </w:rPr>
              <w:t>b</w:t>
            </w:r>
            <w:proofErr w:type="spellEnd"/>
          </w:p>
        </w:tc>
      </w:tr>
      <w:tr w:rsidR="0027700F" w14:paraId="57AD42B5" w14:textId="77777777" w:rsidTr="00BF4D76">
        <w:tc>
          <w:tcPr>
            <w:tcW w:w="2157" w:type="dxa"/>
            <w:tcBorders>
              <w:top w:val="nil"/>
              <w:bottom w:val="nil"/>
              <w:right w:val="nil"/>
            </w:tcBorders>
          </w:tcPr>
          <w:p w14:paraId="45150BAB" w14:textId="77777777" w:rsidR="0027700F" w:rsidRDefault="0027700F" w:rsidP="00BF4D76">
            <w:pPr>
              <w:pStyle w:val="NoSpacing"/>
              <w:jc w:val="center"/>
              <w:rPr>
                <w:rFonts w:asciiTheme="minorHAnsi" w:hAnsiTheme="minorHAnsi"/>
              </w:rPr>
            </w:pPr>
            <w:r>
              <w:rPr>
                <w:rFonts w:asciiTheme="minorHAnsi" w:hAnsiTheme="minorHAnsi"/>
              </w:rPr>
              <w:t>2013</w:t>
            </w:r>
          </w:p>
        </w:tc>
        <w:tc>
          <w:tcPr>
            <w:tcW w:w="2157" w:type="dxa"/>
            <w:tcBorders>
              <w:top w:val="nil"/>
              <w:left w:val="nil"/>
              <w:bottom w:val="nil"/>
              <w:right w:val="nil"/>
            </w:tcBorders>
          </w:tcPr>
          <w:p w14:paraId="536D70F1" w14:textId="77777777" w:rsidR="0027700F" w:rsidRDefault="0027700F" w:rsidP="00BF4D76">
            <w:pPr>
              <w:pStyle w:val="NoSpacing"/>
              <w:jc w:val="center"/>
              <w:rPr>
                <w:rFonts w:asciiTheme="minorHAnsi" w:hAnsiTheme="minorHAnsi"/>
              </w:rPr>
            </w:pPr>
            <w:r>
              <w:rPr>
                <w:rFonts w:asciiTheme="minorHAnsi" w:hAnsiTheme="minorHAnsi"/>
              </w:rPr>
              <w:t>Unavailable</w:t>
            </w:r>
          </w:p>
        </w:tc>
        <w:tc>
          <w:tcPr>
            <w:tcW w:w="2158" w:type="dxa"/>
            <w:tcBorders>
              <w:top w:val="nil"/>
              <w:left w:val="nil"/>
              <w:bottom w:val="nil"/>
              <w:right w:val="nil"/>
            </w:tcBorders>
          </w:tcPr>
          <w:p w14:paraId="2892B4E1" w14:textId="77777777" w:rsidR="0027700F" w:rsidRDefault="0027700F" w:rsidP="00BF4D76">
            <w:pPr>
              <w:pStyle w:val="NoSpacing"/>
              <w:jc w:val="center"/>
              <w:rPr>
                <w:rFonts w:asciiTheme="minorHAnsi" w:hAnsiTheme="minorHAnsi"/>
              </w:rPr>
            </w:pPr>
            <w:r>
              <w:rPr>
                <w:rFonts w:asciiTheme="minorHAnsi" w:hAnsiTheme="minorHAnsi"/>
              </w:rPr>
              <w:t>10.09</w:t>
            </w:r>
          </w:p>
        </w:tc>
        <w:tc>
          <w:tcPr>
            <w:tcW w:w="2158" w:type="dxa"/>
            <w:tcBorders>
              <w:top w:val="nil"/>
              <w:left w:val="nil"/>
              <w:bottom w:val="nil"/>
            </w:tcBorders>
          </w:tcPr>
          <w:p w14:paraId="1F31E1B9" w14:textId="77777777" w:rsidR="0027700F" w:rsidRDefault="0027700F" w:rsidP="00BF4D76">
            <w:pPr>
              <w:pStyle w:val="NoSpacing"/>
              <w:jc w:val="center"/>
              <w:rPr>
                <w:rFonts w:asciiTheme="minorHAnsi" w:hAnsiTheme="minorHAnsi"/>
              </w:rPr>
            </w:pPr>
            <w:r>
              <w:rPr>
                <w:rFonts w:asciiTheme="minorHAnsi" w:hAnsiTheme="minorHAnsi"/>
              </w:rPr>
              <w:t>0.53</w:t>
            </w:r>
          </w:p>
        </w:tc>
      </w:tr>
      <w:tr w:rsidR="0027700F" w14:paraId="6CA55AC4" w14:textId="77777777" w:rsidTr="00BF4D76">
        <w:tc>
          <w:tcPr>
            <w:tcW w:w="2157" w:type="dxa"/>
            <w:tcBorders>
              <w:top w:val="nil"/>
              <w:bottom w:val="nil"/>
              <w:right w:val="nil"/>
            </w:tcBorders>
          </w:tcPr>
          <w:p w14:paraId="2CE5050D" w14:textId="77777777" w:rsidR="0027700F" w:rsidRDefault="0027700F" w:rsidP="00BF4D76">
            <w:pPr>
              <w:pStyle w:val="NoSpacing"/>
              <w:jc w:val="center"/>
              <w:rPr>
                <w:rFonts w:asciiTheme="minorHAnsi" w:hAnsiTheme="minorHAnsi"/>
              </w:rPr>
            </w:pPr>
            <w:r>
              <w:rPr>
                <w:rFonts w:asciiTheme="minorHAnsi" w:hAnsiTheme="minorHAnsi"/>
              </w:rPr>
              <w:t>2014</w:t>
            </w:r>
          </w:p>
        </w:tc>
        <w:tc>
          <w:tcPr>
            <w:tcW w:w="2157" w:type="dxa"/>
            <w:tcBorders>
              <w:top w:val="nil"/>
              <w:left w:val="nil"/>
              <w:bottom w:val="nil"/>
              <w:right w:val="nil"/>
            </w:tcBorders>
          </w:tcPr>
          <w:p w14:paraId="68FFA1C1" w14:textId="77777777" w:rsidR="0027700F" w:rsidRDefault="0027700F" w:rsidP="00BF4D76">
            <w:pPr>
              <w:pStyle w:val="NoSpacing"/>
              <w:jc w:val="center"/>
              <w:rPr>
                <w:rFonts w:asciiTheme="minorHAnsi" w:hAnsiTheme="minorHAnsi"/>
              </w:rPr>
            </w:pPr>
            <w:r>
              <w:rPr>
                <w:rFonts w:asciiTheme="minorHAnsi" w:hAnsiTheme="minorHAnsi"/>
              </w:rPr>
              <w:t>Unavailable</w:t>
            </w:r>
          </w:p>
        </w:tc>
        <w:tc>
          <w:tcPr>
            <w:tcW w:w="2158" w:type="dxa"/>
            <w:tcBorders>
              <w:top w:val="nil"/>
              <w:left w:val="nil"/>
              <w:bottom w:val="nil"/>
              <w:right w:val="nil"/>
            </w:tcBorders>
          </w:tcPr>
          <w:p w14:paraId="31ED67BE" w14:textId="77777777" w:rsidR="0027700F" w:rsidRDefault="0027700F" w:rsidP="00BF4D76">
            <w:pPr>
              <w:pStyle w:val="NoSpacing"/>
              <w:jc w:val="center"/>
              <w:rPr>
                <w:rFonts w:asciiTheme="minorHAnsi" w:hAnsiTheme="minorHAnsi"/>
              </w:rPr>
            </w:pPr>
            <w:r>
              <w:rPr>
                <w:rFonts w:asciiTheme="minorHAnsi" w:hAnsiTheme="minorHAnsi"/>
              </w:rPr>
              <w:t>5.97</w:t>
            </w:r>
          </w:p>
        </w:tc>
        <w:tc>
          <w:tcPr>
            <w:tcW w:w="2158" w:type="dxa"/>
            <w:tcBorders>
              <w:top w:val="nil"/>
              <w:left w:val="nil"/>
              <w:bottom w:val="nil"/>
            </w:tcBorders>
          </w:tcPr>
          <w:p w14:paraId="7BB1BCCF" w14:textId="77777777" w:rsidR="0027700F" w:rsidRDefault="0027700F" w:rsidP="00BF4D76">
            <w:pPr>
              <w:pStyle w:val="NoSpacing"/>
              <w:jc w:val="center"/>
              <w:rPr>
                <w:rFonts w:asciiTheme="minorHAnsi" w:hAnsiTheme="minorHAnsi"/>
              </w:rPr>
            </w:pPr>
            <w:r>
              <w:rPr>
                <w:rFonts w:asciiTheme="minorHAnsi" w:hAnsiTheme="minorHAnsi"/>
              </w:rPr>
              <w:t>0.64</w:t>
            </w:r>
          </w:p>
        </w:tc>
      </w:tr>
      <w:tr w:rsidR="0027700F" w14:paraId="326CF0DE" w14:textId="77777777" w:rsidTr="00BF4D76">
        <w:tc>
          <w:tcPr>
            <w:tcW w:w="2157" w:type="dxa"/>
            <w:tcBorders>
              <w:top w:val="nil"/>
              <w:bottom w:val="nil"/>
              <w:right w:val="nil"/>
            </w:tcBorders>
          </w:tcPr>
          <w:p w14:paraId="1E97FDED" w14:textId="77777777" w:rsidR="0027700F" w:rsidRDefault="0027700F" w:rsidP="00BF4D76">
            <w:pPr>
              <w:pStyle w:val="NoSpacing"/>
              <w:jc w:val="center"/>
              <w:rPr>
                <w:rFonts w:asciiTheme="minorHAnsi" w:hAnsiTheme="minorHAnsi"/>
              </w:rPr>
            </w:pPr>
            <w:r>
              <w:rPr>
                <w:rFonts w:asciiTheme="minorHAnsi" w:hAnsiTheme="minorHAnsi"/>
              </w:rPr>
              <w:t>2015</w:t>
            </w:r>
          </w:p>
        </w:tc>
        <w:tc>
          <w:tcPr>
            <w:tcW w:w="2157" w:type="dxa"/>
            <w:tcBorders>
              <w:top w:val="nil"/>
              <w:left w:val="nil"/>
              <w:bottom w:val="nil"/>
              <w:right w:val="nil"/>
            </w:tcBorders>
          </w:tcPr>
          <w:p w14:paraId="47F53627" w14:textId="77777777" w:rsidR="0027700F" w:rsidRDefault="0027700F" w:rsidP="00BF4D76">
            <w:pPr>
              <w:pStyle w:val="NoSpacing"/>
              <w:jc w:val="center"/>
              <w:rPr>
                <w:rFonts w:asciiTheme="minorHAnsi" w:hAnsiTheme="minorHAnsi"/>
              </w:rPr>
            </w:pPr>
            <w:r>
              <w:rPr>
                <w:rFonts w:asciiTheme="minorHAnsi" w:hAnsiTheme="minorHAnsi"/>
              </w:rPr>
              <w:t>Unavailable</w:t>
            </w:r>
          </w:p>
        </w:tc>
        <w:tc>
          <w:tcPr>
            <w:tcW w:w="2158" w:type="dxa"/>
            <w:tcBorders>
              <w:top w:val="nil"/>
              <w:left w:val="nil"/>
              <w:bottom w:val="nil"/>
              <w:right w:val="nil"/>
            </w:tcBorders>
          </w:tcPr>
          <w:p w14:paraId="252B53D5" w14:textId="77777777" w:rsidR="0027700F" w:rsidRDefault="0027700F" w:rsidP="00BF4D76">
            <w:pPr>
              <w:pStyle w:val="NoSpacing"/>
              <w:jc w:val="center"/>
              <w:rPr>
                <w:rFonts w:asciiTheme="minorHAnsi" w:hAnsiTheme="minorHAnsi"/>
              </w:rPr>
            </w:pPr>
            <w:r>
              <w:rPr>
                <w:rFonts w:asciiTheme="minorHAnsi" w:hAnsiTheme="minorHAnsi"/>
              </w:rPr>
              <w:t>9.37</w:t>
            </w:r>
          </w:p>
        </w:tc>
        <w:tc>
          <w:tcPr>
            <w:tcW w:w="2158" w:type="dxa"/>
            <w:tcBorders>
              <w:top w:val="nil"/>
              <w:left w:val="nil"/>
              <w:bottom w:val="nil"/>
            </w:tcBorders>
          </w:tcPr>
          <w:p w14:paraId="0A3BC7CE" w14:textId="77777777" w:rsidR="0027700F" w:rsidRDefault="0027700F" w:rsidP="00BF4D76">
            <w:pPr>
              <w:pStyle w:val="NoSpacing"/>
              <w:jc w:val="center"/>
              <w:rPr>
                <w:rFonts w:asciiTheme="minorHAnsi" w:hAnsiTheme="minorHAnsi"/>
              </w:rPr>
            </w:pPr>
            <w:r>
              <w:rPr>
                <w:rFonts w:asciiTheme="minorHAnsi" w:hAnsiTheme="minorHAnsi"/>
              </w:rPr>
              <w:t>2.02</w:t>
            </w:r>
          </w:p>
        </w:tc>
      </w:tr>
      <w:tr w:rsidR="0027700F" w14:paraId="0B4DCEA7" w14:textId="77777777" w:rsidTr="00BF4D76">
        <w:tc>
          <w:tcPr>
            <w:tcW w:w="2157" w:type="dxa"/>
            <w:tcBorders>
              <w:top w:val="nil"/>
              <w:bottom w:val="single" w:sz="4" w:space="0" w:color="auto"/>
              <w:right w:val="nil"/>
            </w:tcBorders>
          </w:tcPr>
          <w:p w14:paraId="186155FC" w14:textId="77777777" w:rsidR="0027700F" w:rsidRDefault="0027700F" w:rsidP="00BF4D76">
            <w:pPr>
              <w:pStyle w:val="NoSpacing"/>
              <w:jc w:val="center"/>
              <w:rPr>
                <w:rFonts w:asciiTheme="minorHAnsi" w:hAnsiTheme="minorHAnsi"/>
              </w:rPr>
            </w:pPr>
            <w:r>
              <w:rPr>
                <w:rFonts w:asciiTheme="minorHAnsi" w:hAnsiTheme="minorHAnsi"/>
              </w:rPr>
              <w:t>2016</w:t>
            </w:r>
          </w:p>
        </w:tc>
        <w:tc>
          <w:tcPr>
            <w:tcW w:w="2157" w:type="dxa"/>
            <w:tcBorders>
              <w:top w:val="nil"/>
              <w:left w:val="nil"/>
              <w:bottom w:val="single" w:sz="4" w:space="0" w:color="auto"/>
              <w:right w:val="nil"/>
            </w:tcBorders>
          </w:tcPr>
          <w:p w14:paraId="692C5626" w14:textId="77777777" w:rsidR="0027700F" w:rsidRDefault="0027700F" w:rsidP="00BF4D76">
            <w:pPr>
              <w:pStyle w:val="NoSpacing"/>
              <w:jc w:val="center"/>
              <w:rPr>
                <w:rFonts w:asciiTheme="minorHAnsi" w:hAnsiTheme="minorHAnsi"/>
              </w:rPr>
            </w:pPr>
            <w:r>
              <w:rPr>
                <w:rFonts w:asciiTheme="minorHAnsi" w:hAnsiTheme="minorHAnsi"/>
              </w:rPr>
              <w:t>Unavailable</w:t>
            </w:r>
          </w:p>
        </w:tc>
        <w:tc>
          <w:tcPr>
            <w:tcW w:w="2158" w:type="dxa"/>
            <w:tcBorders>
              <w:top w:val="nil"/>
              <w:left w:val="nil"/>
              <w:bottom w:val="single" w:sz="4" w:space="0" w:color="auto"/>
              <w:right w:val="nil"/>
            </w:tcBorders>
          </w:tcPr>
          <w:p w14:paraId="64F1D315" w14:textId="77777777" w:rsidR="0027700F" w:rsidRDefault="0027700F" w:rsidP="00BF4D76">
            <w:pPr>
              <w:pStyle w:val="NoSpacing"/>
              <w:jc w:val="center"/>
              <w:rPr>
                <w:rFonts w:asciiTheme="minorHAnsi" w:hAnsiTheme="minorHAnsi"/>
              </w:rPr>
            </w:pPr>
            <w:r>
              <w:rPr>
                <w:rFonts w:asciiTheme="minorHAnsi" w:hAnsiTheme="minorHAnsi"/>
              </w:rPr>
              <w:t>8.15</w:t>
            </w:r>
          </w:p>
        </w:tc>
        <w:tc>
          <w:tcPr>
            <w:tcW w:w="2158" w:type="dxa"/>
            <w:tcBorders>
              <w:top w:val="nil"/>
              <w:left w:val="nil"/>
              <w:bottom w:val="single" w:sz="4" w:space="0" w:color="auto"/>
            </w:tcBorders>
          </w:tcPr>
          <w:p w14:paraId="2C3BC052" w14:textId="77777777" w:rsidR="0027700F" w:rsidRDefault="0027700F" w:rsidP="00BF4D76">
            <w:pPr>
              <w:pStyle w:val="NoSpacing"/>
              <w:jc w:val="center"/>
              <w:rPr>
                <w:rFonts w:asciiTheme="minorHAnsi" w:hAnsiTheme="minorHAnsi"/>
              </w:rPr>
            </w:pPr>
            <w:r>
              <w:rPr>
                <w:rFonts w:asciiTheme="minorHAnsi" w:hAnsiTheme="minorHAnsi"/>
              </w:rPr>
              <w:t>2.59</w:t>
            </w:r>
          </w:p>
        </w:tc>
      </w:tr>
      <w:tr w:rsidR="0027700F" w14:paraId="142551E7" w14:textId="77777777" w:rsidTr="00BF4D76">
        <w:tc>
          <w:tcPr>
            <w:tcW w:w="8630" w:type="dxa"/>
            <w:gridSpan w:val="4"/>
            <w:tcBorders>
              <w:top w:val="single" w:sz="4" w:space="0" w:color="auto"/>
              <w:bottom w:val="single" w:sz="4" w:space="0" w:color="auto"/>
            </w:tcBorders>
          </w:tcPr>
          <w:p w14:paraId="42FD8D5F" w14:textId="77777777" w:rsidR="0027700F" w:rsidRDefault="0027700F" w:rsidP="00BF4D76">
            <w:pPr>
              <w:pStyle w:val="NoSpacing"/>
              <w:jc w:val="center"/>
              <w:rPr>
                <w:rFonts w:asciiTheme="minorHAnsi" w:hAnsiTheme="minorHAnsi"/>
              </w:rPr>
            </w:pPr>
            <w:r>
              <w:rPr>
                <w:rFonts w:asciiTheme="minorHAnsi" w:hAnsiTheme="minorHAnsi"/>
              </w:rPr>
              <w:t>Of all Acceptances (%)</w:t>
            </w:r>
          </w:p>
        </w:tc>
      </w:tr>
      <w:tr w:rsidR="0027700F" w14:paraId="3F33D02F" w14:textId="77777777" w:rsidTr="00BF4D76">
        <w:tc>
          <w:tcPr>
            <w:tcW w:w="2157" w:type="dxa"/>
            <w:tcBorders>
              <w:top w:val="single" w:sz="4" w:space="0" w:color="auto"/>
              <w:bottom w:val="nil"/>
              <w:right w:val="nil"/>
            </w:tcBorders>
          </w:tcPr>
          <w:p w14:paraId="76C3BCF8" w14:textId="77777777" w:rsidR="0027700F" w:rsidRPr="00014009" w:rsidRDefault="0027700F" w:rsidP="00BF4D76">
            <w:pPr>
              <w:pStyle w:val="NoSpacing"/>
              <w:jc w:val="center"/>
              <w:rPr>
                <w:rFonts w:asciiTheme="minorHAnsi" w:hAnsiTheme="minorHAnsi"/>
                <w:u w:val="single"/>
              </w:rPr>
            </w:pPr>
            <w:r w:rsidRPr="00014009">
              <w:rPr>
                <w:rFonts w:asciiTheme="minorHAnsi" w:hAnsiTheme="minorHAnsi"/>
                <w:u w:val="single"/>
              </w:rPr>
              <w:t>Year</w:t>
            </w:r>
          </w:p>
        </w:tc>
        <w:tc>
          <w:tcPr>
            <w:tcW w:w="2157" w:type="dxa"/>
            <w:tcBorders>
              <w:top w:val="single" w:sz="4" w:space="0" w:color="auto"/>
              <w:left w:val="nil"/>
              <w:bottom w:val="nil"/>
              <w:right w:val="nil"/>
            </w:tcBorders>
          </w:tcPr>
          <w:p w14:paraId="4E355CD2" w14:textId="77777777" w:rsidR="0027700F" w:rsidRPr="00014009" w:rsidRDefault="0027700F" w:rsidP="00BF4D76">
            <w:pPr>
              <w:pStyle w:val="NoSpacing"/>
              <w:jc w:val="center"/>
              <w:rPr>
                <w:rFonts w:asciiTheme="minorHAnsi" w:hAnsiTheme="minorHAnsi"/>
                <w:u w:val="single"/>
              </w:rPr>
            </w:pPr>
            <w:r w:rsidRPr="00014009">
              <w:rPr>
                <w:rFonts w:asciiTheme="minorHAnsi" w:hAnsiTheme="minorHAnsi"/>
                <w:u w:val="single"/>
              </w:rPr>
              <w:t>Lakehead</w:t>
            </w:r>
          </w:p>
        </w:tc>
        <w:tc>
          <w:tcPr>
            <w:tcW w:w="2158" w:type="dxa"/>
            <w:tcBorders>
              <w:top w:val="single" w:sz="4" w:space="0" w:color="auto"/>
              <w:left w:val="nil"/>
              <w:bottom w:val="nil"/>
              <w:right w:val="nil"/>
            </w:tcBorders>
          </w:tcPr>
          <w:p w14:paraId="7036BF53" w14:textId="77777777" w:rsidR="0027700F" w:rsidRPr="00014009" w:rsidRDefault="0027700F" w:rsidP="00BF4D76">
            <w:pPr>
              <w:pStyle w:val="NoSpacing"/>
              <w:jc w:val="center"/>
              <w:rPr>
                <w:rFonts w:asciiTheme="minorHAnsi" w:hAnsiTheme="minorHAnsi"/>
                <w:u w:val="single"/>
              </w:rPr>
            </w:pPr>
            <w:r w:rsidRPr="00014009">
              <w:rPr>
                <w:rFonts w:asciiTheme="minorHAnsi" w:hAnsiTheme="minorHAnsi"/>
                <w:u w:val="single"/>
              </w:rPr>
              <w:t>Laurentian</w:t>
            </w:r>
          </w:p>
        </w:tc>
        <w:tc>
          <w:tcPr>
            <w:tcW w:w="2158" w:type="dxa"/>
            <w:tcBorders>
              <w:top w:val="single" w:sz="4" w:space="0" w:color="auto"/>
              <w:left w:val="nil"/>
              <w:bottom w:val="nil"/>
            </w:tcBorders>
          </w:tcPr>
          <w:p w14:paraId="7F56C796" w14:textId="77777777" w:rsidR="0027700F" w:rsidRPr="00014009" w:rsidRDefault="0027700F" w:rsidP="00BF4D76">
            <w:pPr>
              <w:pStyle w:val="NoSpacing"/>
              <w:jc w:val="center"/>
              <w:rPr>
                <w:rFonts w:asciiTheme="minorHAnsi" w:hAnsiTheme="minorHAnsi"/>
                <w:u w:val="single"/>
              </w:rPr>
            </w:pPr>
            <w:r w:rsidRPr="00014009">
              <w:rPr>
                <w:rFonts w:asciiTheme="minorHAnsi" w:hAnsiTheme="minorHAnsi"/>
                <w:u w:val="single"/>
              </w:rPr>
              <w:t>Trent</w:t>
            </w:r>
          </w:p>
        </w:tc>
      </w:tr>
      <w:tr w:rsidR="0027700F" w14:paraId="150500F0" w14:textId="77777777" w:rsidTr="00BF4D76">
        <w:tc>
          <w:tcPr>
            <w:tcW w:w="2157" w:type="dxa"/>
            <w:tcBorders>
              <w:top w:val="nil"/>
              <w:bottom w:val="nil"/>
              <w:right w:val="nil"/>
            </w:tcBorders>
          </w:tcPr>
          <w:p w14:paraId="41C67D4E" w14:textId="77777777" w:rsidR="0027700F" w:rsidRDefault="0027700F" w:rsidP="00BF4D76">
            <w:pPr>
              <w:pStyle w:val="NoSpacing"/>
              <w:jc w:val="center"/>
              <w:rPr>
                <w:rFonts w:asciiTheme="minorHAnsi" w:hAnsiTheme="minorHAnsi"/>
              </w:rPr>
            </w:pPr>
            <w:r>
              <w:rPr>
                <w:rFonts w:asciiTheme="minorHAnsi" w:hAnsiTheme="minorHAnsi"/>
              </w:rPr>
              <w:t>2012</w:t>
            </w:r>
          </w:p>
        </w:tc>
        <w:tc>
          <w:tcPr>
            <w:tcW w:w="2157" w:type="dxa"/>
            <w:tcBorders>
              <w:top w:val="nil"/>
              <w:left w:val="nil"/>
              <w:bottom w:val="nil"/>
              <w:right w:val="nil"/>
            </w:tcBorders>
          </w:tcPr>
          <w:p w14:paraId="76C1F831" w14:textId="77777777" w:rsidR="0027700F" w:rsidRDefault="0027700F" w:rsidP="00BF4D76">
            <w:pPr>
              <w:pStyle w:val="NoSpacing"/>
              <w:jc w:val="center"/>
              <w:rPr>
                <w:rFonts w:asciiTheme="minorHAnsi" w:hAnsiTheme="minorHAnsi"/>
              </w:rPr>
            </w:pPr>
            <w:r>
              <w:rPr>
                <w:rFonts w:asciiTheme="minorHAnsi" w:hAnsiTheme="minorHAnsi"/>
              </w:rPr>
              <w:t>44.02</w:t>
            </w:r>
          </w:p>
        </w:tc>
        <w:tc>
          <w:tcPr>
            <w:tcW w:w="2158" w:type="dxa"/>
            <w:tcBorders>
              <w:top w:val="nil"/>
              <w:left w:val="nil"/>
              <w:bottom w:val="nil"/>
              <w:right w:val="nil"/>
            </w:tcBorders>
          </w:tcPr>
          <w:p w14:paraId="0A5B6E5C" w14:textId="77777777" w:rsidR="0027700F" w:rsidRDefault="0027700F" w:rsidP="00BF4D76">
            <w:pPr>
              <w:pStyle w:val="NoSpacing"/>
              <w:jc w:val="center"/>
              <w:rPr>
                <w:rFonts w:asciiTheme="minorHAnsi" w:hAnsiTheme="minorHAnsi"/>
              </w:rPr>
            </w:pPr>
            <w:proofErr w:type="spellStart"/>
            <w:r>
              <w:rPr>
                <w:rFonts w:asciiTheme="minorHAnsi" w:hAnsiTheme="minorHAnsi"/>
              </w:rPr>
              <w:t>Unavailable</w:t>
            </w:r>
            <w:r w:rsidRPr="004D3E5E">
              <w:rPr>
                <w:rFonts w:asciiTheme="minorHAnsi" w:hAnsiTheme="minorHAnsi"/>
                <w:vertAlign w:val="superscript"/>
              </w:rPr>
              <w:t>c</w:t>
            </w:r>
            <w:proofErr w:type="spellEnd"/>
          </w:p>
        </w:tc>
        <w:tc>
          <w:tcPr>
            <w:tcW w:w="2158" w:type="dxa"/>
            <w:tcBorders>
              <w:top w:val="nil"/>
              <w:left w:val="nil"/>
              <w:bottom w:val="nil"/>
            </w:tcBorders>
          </w:tcPr>
          <w:p w14:paraId="70A56AF4" w14:textId="77777777" w:rsidR="0027700F" w:rsidRDefault="0027700F" w:rsidP="00BF4D76">
            <w:pPr>
              <w:pStyle w:val="NoSpacing"/>
              <w:jc w:val="center"/>
              <w:rPr>
                <w:rFonts w:asciiTheme="minorHAnsi" w:hAnsiTheme="minorHAnsi"/>
              </w:rPr>
            </w:pPr>
            <w:r>
              <w:rPr>
                <w:rFonts w:asciiTheme="minorHAnsi" w:hAnsiTheme="minorHAnsi"/>
              </w:rPr>
              <w:t>Unavailable</w:t>
            </w:r>
          </w:p>
        </w:tc>
      </w:tr>
      <w:tr w:rsidR="0027700F" w14:paraId="78C9641D" w14:textId="77777777" w:rsidTr="00BF4D76">
        <w:tc>
          <w:tcPr>
            <w:tcW w:w="2157" w:type="dxa"/>
            <w:tcBorders>
              <w:top w:val="nil"/>
              <w:bottom w:val="nil"/>
              <w:right w:val="nil"/>
            </w:tcBorders>
          </w:tcPr>
          <w:p w14:paraId="7C01B90C" w14:textId="77777777" w:rsidR="0027700F" w:rsidRDefault="0027700F" w:rsidP="00BF4D76">
            <w:pPr>
              <w:pStyle w:val="NoSpacing"/>
              <w:jc w:val="center"/>
              <w:rPr>
                <w:rFonts w:asciiTheme="minorHAnsi" w:hAnsiTheme="minorHAnsi"/>
              </w:rPr>
            </w:pPr>
            <w:r>
              <w:rPr>
                <w:rFonts w:asciiTheme="minorHAnsi" w:hAnsiTheme="minorHAnsi"/>
              </w:rPr>
              <w:t>2013</w:t>
            </w:r>
          </w:p>
        </w:tc>
        <w:tc>
          <w:tcPr>
            <w:tcW w:w="2157" w:type="dxa"/>
            <w:tcBorders>
              <w:top w:val="nil"/>
              <w:left w:val="nil"/>
              <w:bottom w:val="nil"/>
              <w:right w:val="nil"/>
            </w:tcBorders>
          </w:tcPr>
          <w:p w14:paraId="6924F499" w14:textId="77777777" w:rsidR="0027700F" w:rsidRDefault="0027700F" w:rsidP="00BF4D76">
            <w:pPr>
              <w:pStyle w:val="NoSpacing"/>
              <w:jc w:val="center"/>
              <w:rPr>
                <w:rFonts w:asciiTheme="minorHAnsi" w:hAnsiTheme="minorHAnsi"/>
              </w:rPr>
            </w:pPr>
            <w:r>
              <w:rPr>
                <w:rFonts w:asciiTheme="minorHAnsi" w:hAnsiTheme="minorHAnsi"/>
              </w:rPr>
              <w:t>45.07</w:t>
            </w:r>
          </w:p>
        </w:tc>
        <w:tc>
          <w:tcPr>
            <w:tcW w:w="2158" w:type="dxa"/>
            <w:tcBorders>
              <w:top w:val="nil"/>
              <w:left w:val="nil"/>
              <w:bottom w:val="nil"/>
              <w:right w:val="nil"/>
            </w:tcBorders>
          </w:tcPr>
          <w:p w14:paraId="49C87982" w14:textId="77777777" w:rsidR="0027700F" w:rsidRDefault="0027700F" w:rsidP="00BF4D76">
            <w:pPr>
              <w:pStyle w:val="NoSpacing"/>
              <w:jc w:val="center"/>
              <w:rPr>
                <w:rFonts w:asciiTheme="minorHAnsi" w:hAnsiTheme="minorHAnsi"/>
              </w:rPr>
            </w:pPr>
            <w:r>
              <w:rPr>
                <w:rFonts w:asciiTheme="minorHAnsi" w:hAnsiTheme="minorHAnsi"/>
              </w:rPr>
              <w:t>Unavailable</w:t>
            </w:r>
          </w:p>
        </w:tc>
        <w:tc>
          <w:tcPr>
            <w:tcW w:w="2158" w:type="dxa"/>
            <w:tcBorders>
              <w:top w:val="nil"/>
              <w:left w:val="nil"/>
              <w:bottom w:val="nil"/>
            </w:tcBorders>
          </w:tcPr>
          <w:p w14:paraId="2AEA4798" w14:textId="77777777" w:rsidR="0027700F" w:rsidRDefault="0027700F" w:rsidP="00BF4D76">
            <w:pPr>
              <w:pStyle w:val="NoSpacing"/>
              <w:jc w:val="center"/>
              <w:rPr>
                <w:rFonts w:asciiTheme="minorHAnsi" w:hAnsiTheme="minorHAnsi"/>
              </w:rPr>
            </w:pPr>
            <w:r>
              <w:rPr>
                <w:rFonts w:asciiTheme="minorHAnsi" w:hAnsiTheme="minorHAnsi"/>
              </w:rPr>
              <w:t>0.75</w:t>
            </w:r>
          </w:p>
        </w:tc>
      </w:tr>
      <w:tr w:rsidR="0027700F" w14:paraId="620A4EE2" w14:textId="77777777" w:rsidTr="00BF4D76">
        <w:tc>
          <w:tcPr>
            <w:tcW w:w="2157" w:type="dxa"/>
            <w:tcBorders>
              <w:top w:val="nil"/>
              <w:bottom w:val="nil"/>
              <w:right w:val="nil"/>
            </w:tcBorders>
          </w:tcPr>
          <w:p w14:paraId="61129AD4" w14:textId="77777777" w:rsidR="0027700F" w:rsidRDefault="0027700F" w:rsidP="00BF4D76">
            <w:pPr>
              <w:pStyle w:val="NoSpacing"/>
              <w:jc w:val="center"/>
              <w:rPr>
                <w:rFonts w:asciiTheme="minorHAnsi" w:hAnsiTheme="minorHAnsi"/>
              </w:rPr>
            </w:pPr>
            <w:r>
              <w:rPr>
                <w:rFonts w:asciiTheme="minorHAnsi" w:hAnsiTheme="minorHAnsi"/>
              </w:rPr>
              <w:t>2014</w:t>
            </w:r>
          </w:p>
        </w:tc>
        <w:tc>
          <w:tcPr>
            <w:tcW w:w="2157" w:type="dxa"/>
            <w:tcBorders>
              <w:top w:val="nil"/>
              <w:left w:val="nil"/>
              <w:bottom w:val="nil"/>
              <w:right w:val="nil"/>
            </w:tcBorders>
          </w:tcPr>
          <w:p w14:paraId="21CA9F3E" w14:textId="77777777" w:rsidR="0027700F" w:rsidRDefault="0027700F" w:rsidP="00BF4D76">
            <w:pPr>
              <w:pStyle w:val="NoSpacing"/>
              <w:jc w:val="center"/>
              <w:rPr>
                <w:rFonts w:asciiTheme="minorHAnsi" w:hAnsiTheme="minorHAnsi"/>
              </w:rPr>
            </w:pPr>
            <w:r>
              <w:rPr>
                <w:rFonts w:asciiTheme="minorHAnsi" w:hAnsiTheme="minorHAnsi"/>
              </w:rPr>
              <w:t>49.05</w:t>
            </w:r>
          </w:p>
        </w:tc>
        <w:tc>
          <w:tcPr>
            <w:tcW w:w="2158" w:type="dxa"/>
            <w:tcBorders>
              <w:top w:val="nil"/>
              <w:left w:val="nil"/>
              <w:bottom w:val="nil"/>
              <w:right w:val="nil"/>
            </w:tcBorders>
          </w:tcPr>
          <w:p w14:paraId="754BDA66" w14:textId="77777777" w:rsidR="0027700F" w:rsidRDefault="0027700F" w:rsidP="00BF4D76">
            <w:pPr>
              <w:pStyle w:val="NoSpacing"/>
              <w:jc w:val="center"/>
              <w:rPr>
                <w:rFonts w:asciiTheme="minorHAnsi" w:hAnsiTheme="minorHAnsi"/>
              </w:rPr>
            </w:pPr>
            <w:r>
              <w:rPr>
                <w:rFonts w:asciiTheme="minorHAnsi" w:hAnsiTheme="minorHAnsi"/>
              </w:rPr>
              <w:t>Unavailable</w:t>
            </w:r>
          </w:p>
        </w:tc>
        <w:tc>
          <w:tcPr>
            <w:tcW w:w="2158" w:type="dxa"/>
            <w:tcBorders>
              <w:top w:val="nil"/>
              <w:left w:val="nil"/>
              <w:bottom w:val="nil"/>
            </w:tcBorders>
          </w:tcPr>
          <w:p w14:paraId="7A0662D4" w14:textId="77777777" w:rsidR="0027700F" w:rsidRDefault="0027700F" w:rsidP="00BF4D76">
            <w:pPr>
              <w:pStyle w:val="NoSpacing"/>
              <w:jc w:val="center"/>
              <w:rPr>
                <w:rFonts w:asciiTheme="minorHAnsi" w:hAnsiTheme="minorHAnsi"/>
              </w:rPr>
            </w:pPr>
            <w:r>
              <w:rPr>
                <w:rFonts w:asciiTheme="minorHAnsi" w:hAnsiTheme="minorHAnsi"/>
              </w:rPr>
              <w:t>0.82</w:t>
            </w:r>
          </w:p>
        </w:tc>
      </w:tr>
      <w:tr w:rsidR="0027700F" w14:paraId="0E7F199E" w14:textId="77777777" w:rsidTr="00BF4D76">
        <w:tc>
          <w:tcPr>
            <w:tcW w:w="2157" w:type="dxa"/>
            <w:tcBorders>
              <w:top w:val="nil"/>
              <w:bottom w:val="nil"/>
              <w:right w:val="nil"/>
            </w:tcBorders>
          </w:tcPr>
          <w:p w14:paraId="40811549" w14:textId="77777777" w:rsidR="0027700F" w:rsidRDefault="0027700F" w:rsidP="00BF4D76">
            <w:pPr>
              <w:pStyle w:val="NoSpacing"/>
              <w:jc w:val="center"/>
              <w:rPr>
                <w:rFonts w:asciiTheme="minorHAnsi" w:hAnsiTheme="minorHAnsi"/>
              </w:rPr>
            </w:pPr>
            <w:r>
              <w:rPr>
                <w:rFonts w:asciiTheme="minorHAnsi" w:hAnsiTheme="minorHAnsi"/>
              </w:rPr>
              <w:t>2015</w:t>
            </w:r>
          </w:p>
        </w:tc>
        <w:tc>
          <w:tcPr>
            <w:tcW w:w="2157" w:type="dxa"/>
            <w:tcBorders>
              <w:top w:val="nil"/>
              <w:left w:val="nil"/>
              <w:bottom w:val="nil"/>
              <w:right w:val="nil"/>
            </w:tcBorders>
          </w:tcPr>
          <w:p w14:paraId="331A5B8D" w14:textId="77777777" w:rsidR="0027700F" w:rsidRDefault="0027700F" w:rsidP="00BF4D76">
            <w:pPr>
              <w:pStyle w:val="NoSpacing"/>
              <w:jc w:val="center"/>
              <w:rPr>
                <w:rFonts w:asciiTheme="minorHAnsi" w:hAnsiTheme="minorHAnsi"/>
              </w:rPr>
            </w:pPr>
            <w:r>
              <w:rPr>
                <w:rFonts w:asciiTheme="minorHAnsi" w:hAnsiTheme="minorHAnsi"/>
              </w:rPr>
              <w:t>55.17</w:t>
            </w:r>
          </w:p>
        </w:tc>
        <w:tc>
          <w:tcPr>
            <w:tcW w:w="2158" w:type="dxa"/>
            <w:tcBorders>
              <w:top w:val="nil"/>
              <w:left w:val="nil"/>
              <w:bottom w:val="nil"/>
              <w:right w:val="nil"/>
            </w:tcBorders>
          </w:tcPr>
          <w:p w14:paraId="1536F562" w14:textId="77777777" w:rsidR="0027700F" w:rsidRDefault="0027700F" w:rsidP="00BF4D76">
            <w:pPr>
              <w:pStyle w:val="NoSpacing"/>
              <w:jc w:val="center"/>
              <w:rPr>
                <w:rFonts w:asciiTheme="minorHAnsi" w:hAnsiTheme="minorHAnsi"/>
              </w:rPr>
            </w:pPr>
            <w:r>
              <w:rPr>
                <w:rFonts w:asciiTheme="minorHAnsi" w:hAnsiTheme="minorHAnsi"/>
              </w:rPr>
              <w:t>Unavailable</w:t>
            </w:r>
          </w:p>
        </w:tc>
        <w:tc>
          <w:tcPr>
            <w:tcW w:w="2158" w:type="dxa"/>
            <w:tcBorders>
              <w:top w:val="nil"/>
              <w:left w:val="nil"/>
              <w:bottom w:val="nil"/>
            </w:tcBorders>
          </w:tcPr>
          <w:p w14:paraId="78707D2D" w14:textId="77777777" w:rsidR="0027700F" w:rsidRDefault="0027700F" w:rsidP="00BF4D76">
            <w:pPr>
              <w:pStyle w:val="NoSpacing"/>
              <w:jc w:val="center"/>
              <w:rPr>
                <w:rFonts w:asciiTheme="minorHAnsi" w:hAnsiTheme="minorHAnsi"/>
              </w:rPr>
            </w:pPr>
            <w:r>
              <w:rPr>
                <w:rFonts w:asciiTheme="minorHAnsi" w:hAnsiTheme="minorHAnsi"/>
              </w:rPr>
              <w:t>5.67</w:t>
            </w:r>
          </w:p>
        </w:tc>
      </w:tr>
      <w:tr w:rsidR="0027700F" w14:paraId="45495950" w14:textId="77777777" w:rsidTr="00BF4D76">
        <w:tc>
          <w:tcPr>
            <w:tcW w:w="2157" w:type="dxa"/>
            <w:tcBorders>
              <w:top w:val="nil"/>
              <w:bottom w:val="single" w:sz="4" w:space="0" w:color="auto"/>
              <w:right w:val="nil"/>
            </w:tcBorders>
          </w:tcPr>
          <w:p w14:paraId="3D067606" w14:textId="77777777" w:rsidR="0027700F" w:rsidRDefault="0027700F" w:rsidP="00BF4D76">
            <w:pPr>
              <w:pStyle w:val="NoSpacing"/>
              <w:jc w:val="center"/>
              <w:rPr>
                <w:rFonts w:asciiTheme="minorHAnsi" w:hAnsiTheme="minorHAnsi"/>
              </w:rPr>
            </w:pPr>
            <w:r>
              <w:rPr>
                <w:rFonts w:asciiTheme="minorHAnsi" w:hAnsiTheme="minorHAnsi"/>
              </w:rPr>
              <w:t>2016</w:t>
            </w:r>
          </w:p>
        </w:tc>
        <w:tc>
          <w:tcPr>
            <w:tcW w:w="2157" w:type="dxa"/>
            <w:tcBorders>
              <w:top w:val="nil"/>
              <w:left w:val="nil"/>
              <w:bottom w:val="single" w:sz="4" w:space="0" w:color="auto"/>
              <w:right w:val="nil"/>
            </w:tcBorders>
          </w:tcPr>
          <w:p w14:paraId="3BEAA3CA" w14:textId="77777777" w:rsidR="0027700F" w:rsidRDefault="0027700F" w:rsidP="00BF4D76">
            <w:pPr>
              <w:pStyle w:val="NoSpacing"/>
              <w:jc w:val="center"/>
              <w:rPr>
                <w:rFonts w:asciiTheme="minorHAnsi" w:hAnsiTheme="minorHAnsi"/>
              </w:rPr>
            </w:pPr>
            <w:proofErr w:type="spellStart"/>
            <w:r>
              <w:rPr>
                <w:rFonts w:asciiTheme="minorHAnsi" w:hAnsiTheme="minorHAnsi"/>
              </w:rPr>
              <w:t>Unavailable</w:t>
            </w:r>
            <w:r w:rsidRPr="004D3E5E">
              <w:rPr>
                <w:rFonts w:asciiTheme="minorHAnsi" w:hAnsiTheme="minorHAnsi"/>
                <w:vertAlign w:val="superscript"/>
              </w:rPr>
              <w:t>d</w:t>
            </w:r>
            <w:proofErr w:type="spellEnd"/>
          </w:p>
        </w:tc>
        <w:tc>
          <w:tcPr>
            <w:tcW w:w="2158" w:type="dxa"/>
            <w:tcBorders>
              <w:top w:val="nil"/>
              <w:left w:val="nil"/>
              <w:bottom w:val="single" w:sz="4" w:space="0" w:color="auto"/>
              <w:right w:val="nil"/>
            </w:tcBorders>
          </w:tcPr>
          <w:p w14:paraId="339A4D88" w14:textId="77777777" w:rsidR="0027700F" w:rsidRDefault="0027700F" w:rsidP="00BF4D76">
            <w:pPr>
              <w:pStyle w:val="NoSpacing"/>
              <w:jc w:val="center"/>
              <w:rPr>
                <w:rFonts w:asciiTheme="minorHAnsi" w:hAnsiTheme="minorHAnsi"/>
              </w:rPr>
            </w:pPr>
            <w:r>
              <w:rPr>
                <w:rFonts w:asciiTheme="minorHAnsi" w:hAnsiTheme="minorHAnsi"/>
              </w:rPr>
              <w:t>Unavailable</w:t>
            </w:r>
          </w:p>
        </w:tc>
        <w:tc>
          <w:tcPr>
            <w:tcW w:w="2158" w:type="dxa"/>
            <w:tcBorders>
              <w:top w:val="nil"/>
              <w:left w:val="nil"/>
              <w:bottom w:val="single" w:sz="4" w:space="0" w:color="auto"/>
            </w:tcBorders>
          </w:tcPr>
          <w:p w14:paraId="419D2962" w14:textId="77777777" w:rsidR="0027700F" w:rsidRDefault="0027700F" w:rsidP="00BF4D76">
            <w:pPr>
              <w:pStyle w:val="NoSpacing"/>
              <w:jc w:val="center"/>
              <w:rPr>
                <w:rFonts w:asciiTheme="minorHAnsi" w:hAnsiTheme="minorHAnsi"/>
              </w:rPr>
            </w:pPr>
            <w:r>
              <w:rPr>
                <w:rFonts w:asciiTheme="minorHAnsi" w:hAnsiTheme="minorHAnsi"/>
              </w:rPr>
              <w:t>7.19</w:t>
            </w:r>
          </w:p>
        </w:tc>
      </w:tr>
      <w:tr w:rsidR="0027700F" w14:paraId="709A7C00" w14:textId="77777777" w:rsidTr="00BF4D76">
        <w:tc>
          <w:tcPr>
            <w:tcW w:w="8630" w:type="dxa"/>
            <w:gridSpan w:val="4"/>
            <w:tcBorders>
              <w:top w:val="single" w:sz="4" w:space="0" w:color="auto"/>
              <w:bottom w:val="nil"/>
            </w:tcBorders>
          </w:tcPr>
          <w:p w14:paraId="29F41B32" w14:textId="77777777" w:rsidR="0027700F" w:rsidRDefault="0027700F" w:rsidP="00BF4D76">
            <w:pPr>
              <w:pStyle w:val="NoSpacing"/>
              <w:rPr>
                <w:rFonts w:asciiTheme="minorHAnsi" w:hAnsiTheme="minorHAnsi"/>
              </w:rPr>
            </w:pPr>
            <w:r w:rsidRPr="004D3E5E">
              <w:rPr>
                <w:rFonts w:asciiTheme="minorHAnsi" w:hAnsiTheme="minorHAnsi"/>
                <w:vertAlign w:val="superscript"/>
              </w:rPr>
              <w:t>a</w:t>
            </w:r>
            <w:r>
              <w:rPr>
                <w:rFonts w:asciiTheme="minorHAnsi" w:hAnsiTheme="minorHAnsi"/>
                <w:vertAlign w:val="superscript"/>
              </w:rPr>
              <w:t xml:space="preserve"> </w:t>
            </w:r>
            <w:r>
              <w:rPr>
                <w:rFonts w:asciiTheme="minorHAnsi" w:hAnsiTheme="minorHAnsi"/>
              </w:rPr>
              <w:t>Lakehead does not track data for underrepresented groups until registration, and so applicant proportions are not available.</w:t>
            </w:r>
          </w:p>
          <w:p w14:paraId="14C40B6F" w14:textId="77777777" w:rsidR="0027700F" w:rsidRDefault="0027700F" w:rsidP="00BF4D76">
            <w:pPr>
              <w:pStyle w:val="NoSpacing"/>
              <w:rPr>
                <w:rFonts w:asciiTheme="minorHAnsi" w:hAnsiTheme="minorHAnsi"/>
              </w:rPr>
            </w:pPr>
            <w:r>
              <w:rPr>
                <w:rFonts w:asciiTheme="minorHAnsi" w:hAnsiTheme="minorHAnsi"/>
                <w:vertAlign w:val="superscript"/>
              </w:rPr>
              <w:t xml:space="preserve">b </w:t>
            </w:r>
            <w:r>
              <w:rPr>
                <w:rFonts w:asciiTheme="minorHAnsi" w:hAnsiTheme="minorHAnsi"/>
              </w:rPr>
              <w:t>Trent did not report data for 2012.</w:t>
            </w:r>
          </w:p>
          <w:p w14:paraId="3FF752A1" w14:textId="77777777" w:rsidR="0027700F" w:rsidRDefault="0027700F" w:rsidP="00BF4D76">
            <w:pPr>
              <w:pStyle w:val="NoSpacing"/>
              <w:rPr>
                <w:rFonts w:asciiTheme="minorHAnsi" w:hAnsiTheme="minorHAnsi"/>
              </w:rPr>
            </w:pPr>
            <w:r>
              <w:rPr>
                <w:rFonts w:asciiTheme="minorHAnsi" w:hAnsiTheme="minorHAnsi"/>
                <w:vertAlign w:val="superscript"/>
              </w:rPr>
              <w:t xml:space="preserve">c </w:t>
            </w:r>
            <w:r>
              <w:rPr>
                <w:rFonts w:asciiTheme="minorHAnsi" w:hAnsiTheme="minorHAnsi"/>
              </w:rPr>
              <w:t>At Laurentian, proportions are tracked by underrepresented group only at the applications stage. At the acceptance stage, proportions are only tracked for general equity students, not for individual underrepresented groups.</w:t>
            </w:r>
          </w:p>
          <w:p w14:paraId="0E29B1E6" w14:textId="77777777" w:rsidR="0027700F" w:rsidRDefault="0027700F" w:rsidP="00BF4D76">
            <w:pPr>
              <w:pStyle w:val="NoSpacing"/>
              <w:rPr>
                <w:rFonts w:asciiTheme="minorHAnsi" w:hAnsiTheme="minorHAnsi"/>
              </w:rPr>
            </w:pPr>
            <w:r>
              <w:rPr>
                <w:rFonts w:asciiTheme="minorHAnsi" w:hAnsiTheme="minorHAnsi"/>
                <w:vertAlign w:val="superscript"/>
              </w:rPr>
              <w:t xml:space="preserve">d </w:t>
            </w:r>
            <w:r>
              <w:rPr>
                <w:rFonts w:asciiTheme="minorHAnsi" w:hAnsiTheme="minorHAnsi"/>
              </w:rPr>
              <w:t>Lakehead did not have data for 2016 at the time of this study.</w:t>
            </w:r>
          </w:p>
        </w:tc>
      </w:tr>
    </w:tbl>
    <w:p w14:paraId="7193F5B9" w14:textId="77777777" w:rsidR="0027700F" w:rsidRDefault="0027700F" w:rsidP="0027700F">
      <w:pPr>
        <w:pStyle w:val="NoSpacing"/>
        <w:rPr>
          <w:rFonts w:asciiTheme="minorHAnsi" w:hAnsiTheme="minorHAnsi"/>
        </w:rPr>
      </w:pPr>
    </w:p>
    <w:p w14:paraId="54469F6F" w14:textId="77777777" w:rsidR="0027700F" w:rsidRDefault="0027700F" w:rsidP="005A1476">
      <w:pPr>
        <w:pStyle w:val="NoSpacing"/>
        <w:rPr>
          <w:rFonts w:asciiTheme="minorHAnsi" w:hAnsiTheme="minorHAnsi"/>
        </w:rPr>
      </w:pPr>
    </w:p>
    <w:p w14:paraId="345F4E73" w14:textId="77777777" w:rsidR="005A1476" w:rsidRDefault="005A1476">
      <w:pPr>
        <w:rPr>
          <w:rFonts w:asciiTheme="minorHAnsi" w:hAnsiTheme="minorHAnsi"/>
        </w:rPr>
      </w:pPr>
      <w:r>
        <w:rPr>
          <w:rFonts w:asciiTheme="minorHAnsi" w:hAnsiTheme="minorHAnsi"/>
        </w:rPr>
        <w:br w:type="page"/>
      </w:r>
    </w:p>
    <w:p w14:paraId="109B8ABC" w14:textId="77777777" w:rsidR="0074138F" w:rsidRDefault="0074138F" w:rsidP="0074138F">
      <w:pPr>
        <w:pStyle w:val="NoSpacing"/>
        <w:spacing w:line="480" w:lineRule="auto"/>
        <w:rPr>
          <w:rFonts w:asciiTheme="minorHAnsi" w:hAnsiTheme="minorHAnsi"/>
        </w:rPr>
      </w:pPr>
      <w:r>
        <w:rPr>
          <w:rFonts w:asciiTheme="minorHAnsi" w:hAnsiTheme="minorHAnsi"/>
        </w:rPr>
        <w:lastRenderedPageBreak/>
        <w:t xml:space="preserve">&amp; Kitchen, 2017), Trent’s rate of representation has increased because more first-generation students have been applying to the program, and because those students are now twice as likely to accept their offers of admission. </w:t>
      </w:r>
    </w:p>
    <w:p w14:paraId="3A26193A" w14:textId="77777777" w:rsidR="0074138F" w:rsidRDefault="0074138F" w:rsidP="0074138F">
      <w:pPr>
        <w:pStyle w:val="NoSpacing"/>
        <w:spacing w:line="480" w:lineRule="auto"/>
        <w:rPr>
          <w:rFonts w:asciiTheme="minorHAnsi" w:hAnsiTheme="minorHAnsi"/>
        </w:rPr>
      </w:pPr>
      <w:r>
        <w:rPr>
          <w:rFonts w:asciiTheme="minorHAnsi" w:hAnsiTheme="minorHAnsi"/>
        </w:rPr>
        <w:tab/>
        <w:t xml:space="preserve">Lakehead’s data is particularly commendable, as the program has reported that between 44.02 and 55.17% of their students are the first in their family to attend postsecondary. This proportion also exceeds Finnie and colleagues’ (2011b) sample, where first-generation students represented 29.05% of the population. </w:t>
      </w:r>
      <w:proofErr w:type="gramStart"/>
      <w:r>
        <w:rPr>
          <w:rFonts w:asciiTheme="minorHAnsi" w:hAnsiTheme="minorHAnsi"/>
        </w:rPr>
        <w:t>With this in mind, teacher</w:t>
      </w:r>
      <w:proofErr w:type="gramEnd"/>
      <w:r>
        <w:rPr>
          <w:rFonts w:asciiTheme="minorHAnsi" w:hAnsiTheme="minorHAnsi"/>
        </w:rPr>
        <w:t xml:space="preserve"> educators should consider the ongoing successes at Lakehead, as well as more recent improvements at Trent, when considering what practices might transfer to their own programs. </w:t>
      </w:r>
    </w:p>
    <w:p w14:paraId="62A2921F" w14:textId="77777777" w:rsidR="0074138F" w:rsidRDefault="0074138F" w:rsidP="0074138F">
      <w:pPr>
        <w:pStyle w:val="NoSpacing"/>
        <w:spacing w:line="480" w:lineRule="auto"/>
        <w:rPr>
          <w:rFonts w:asciiTheme="minorHAnsi" w:hAnsiTheme="minorHAnsi"/>
          <w:b/>
        </w:rPr>
      </w:pPr>
      <w:r>
        <w:rPr>
          <w:rFonts w:asciiTheme="minorHAnsi" w:hAnsiTheme="minorHAnsi"/>
          <w:b/>
        </w:rPr>
        <w:t>Students with Disabilities</w:t>
      </w:r>
    </w:p>
    <w:p w14:paraId="11CC971E" w14:textId="77777777" w:rsidR="0074138F" w:rsidRDefault="0074138F" w:rsidP="0074138F">
      <w:pPr>
        <w:pStyle w:val="NoSpacing"/>
        <w:spacing w:line="480" w:lineRule="auto"/>
        <w:rPr>
          <w:rFonts w:asciiTheme="minorHAnsi" w:hAnsiTheme="minorHAnsi"/>
        </w:rPr>
      </w:pPr>
      <w:r>
        <w:rPr>
          <w:rFonts w:asciiTheme="minorHAnsi" w:hAnsiTheme="minorHAnsi"/>
        </w:rPr>
        <w:tab/>
        <w:t xml:space="preserve">Table 3 provides an overview of the four Ontario teacher education programs that formally track participation rates for applicants with disabilities. Importantly, several universities that did not report data for these students explained that students with disabilities are often tracked by student development centres, not by the faculty of education. Thus, while a lack of data limits our ability to make province-wide assessments of representation, it does not mean that Ontario’s universities are not supporting these students. </w:t>
      </w:r>
    </w:p>
    <w:p w14:paraId="3D8733DC" w14:textId="6942185F" w:rsidR="0074138F" w:rsidRDefault="0074138F" w:rsidP="0074138F">
      <w:pPr>
        <w:pStyle w:val="NoSpacing"/>
        <w:spacing w:line="480" w:lineRule="auto"/>
        <w:ind w:firstLine="720"/>
        <w:rPr>
          <w:rFonts w:asciiTheme="minorHAnsi" w:hAnsiTheme="minorHAnsi"/>
        </w:rPr>
      </w:pPr>
      <w:r>
        <w:rPr>
          <w:rFonts w:asciiTheme="minorHAnsi" w:hAnsiTheme="minorHAnsi"/>
        </w:rPr>
        <w:t>The available data are nevertheless of interest because of recent shifts in the proportion of students with disabilities in some programs. At Lakehead, for example, a 53% decrease in the</w:t>
      </w:r>
      <w:r>
        <w:rPr>
          <w:rFonts w:asciiTheme="minorHAnsi" w:hAnsiTheme="minorHAnsi"/>
        </w:rPr>
        <w:t xml:space="preserve"> </w:t>
      </w:r>
      <w:r>
        <w:rPr>
          <w:rFonts w:asciiTheme="minorHAnsi" w:hAnsiTheme="minorHAnsi"/>
        </w:rPr>
        <w:t xml:space="preserve">program’s size between 2014 and 2015 contributed to a 3.47% increase in the proportion of students self-identifying as having a disability. Nipissing saw a similar increase of 3.33% in 2016, owing to a noticeably higher proportion of students with disabilities accepting their offers of admission (see Holden &amp; Kitchen, 2017). York University’s 2016 data are also noteworthy, in </w:t>
      </w:r>
      <w:r>
        <w:rPr>
          <w:rFonts w:asciiTheme="minorHAnsi" w:hAnsiTheme="minorHAnsi"/>
        </w:rPr>
        <w:br w:type="page"/>
      </w:r>
    </w:p>
    <w:p w14:paraId="4751658C" w14:textId="797CA307" w:rsidR="00EA4919" w:rsidRDefault="00EA4919" w:rsidP="0074138F">
      <w:pPr>
        <w:pStyle w:val="NoSpacing"/>
        <w:rPr>
          <w:rFonts w:asciiTheme="minorHAnsi" w:hAnsiTheme="minorHAnsi"/>
        </w:rPr>
      </w:pPr>
      <w:r>
        <w:rPr>
          <w:rFonts w:asciiTheme="minorHAnsi" w:hAnsiTheme="minorHAnsi"/>
        </w:rPr>
        <w:lastRenderedPageBreak/>
        <w:t>Table 3</w:t>
      </w:r>
    </w:p>
    <w:p w14:paraId="18B1888C" w14:textId="77777777" w:rsidR="00EA4919" w:rsidRDefault="00EA4919" w:rsidP="00EA4919">
      <w:pPr>
        <w:pStyle w:val="NoSpacing"/>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870"/>
        <w:gridCol w:w="1870"/>
        <w:gridCol w:w="1870"/>
        <w:gridCol w:w="1870"/>
        <w:gridCol w:w="1870"/>
      </w:tblGrid>
      <w:tr w:rsidR="00EA4919" w14:paraId="15F597E1" w14:textId="77777777" w:rsidTr="00BF4D76">
        <w:tc>
          <w:tcPr>
            <w:tcW w:w="9350" w:type="dxa"/>
            <w:gridSpan w:val="5"/>
            <w:tcBorders>
              <w:top w:val="nil"/>
              <w:bottom w:val="single" w:sz="4" w:space="0" w:color="auto"/>
            </w:tcBorders>
          </w:tcPr>
          <w:p w14:paraId="6DD030C8" w14:textId="77777777" w:rsidR="00EA4919" w:rsidRDefault="00EA4919" w:rsidP="00BF4D76">
            <w:pPr>
              <w:pStyle w:val="NoSpacing"/>
              <w:rPr>
                <w:rFonts w:asciiTheme="minorHAnsi" w:hAnsiTheme="minorHAnsi"/>
                <w:i/>
              </w:rPr>
            </w:pPr>
            <w:r>
              <w:rPr>
                <w:rFonts w:asciiTheme="minorHAnsi" w:hAnsiTheme="minorHAnsi"/>
                <w:i/>
              </w:rPr>
              <w:t>Changes in the Proportion of Students with Disabilities by Institution</w:t>
            </w:r>
          </w:p>
          <w:p w14:paraId="66EC6543" w14:textId="77777777" w:rsidR="00EA4919" w:rsidRDefault="00EA4919" w:rsidP="00BF4D76">
            <w:pPr>
              <w:pStyle w:val="NoSpacing"/>
              <w:rPr>
                <w:rFonts w:asciiTheme="minorHAnsi" w:hAnsiTheme="minorHAnsi"/>
              </w:rPr>
            </w:pPr>
          </w:p>
        </w:tc>
      </w:tr>
      <w:tr w:rsidR="00EA4919" w14:paraId="1802880F" w14:textId="77777777" w:rsidTr="00BF4D76">
        <w:tc>
          <w:tcPr>
            <w:tcW w:w="9350" w:type="dxa"/>
            <w:gridSpan w:val="5"/>
            <w:tcBorders>
              <w:top w:val="single" w:sz="4" w:space="0" w:color="auto"/>
              <w:bottom w:val="single" w:sz="4" w:space="0" w:color="auto"/>
            </w:tcBorders>
          </w:tcPr>
          <w:p w14:paraId="09D052BB" w14:textId="77777777" w:rsidR="00EA4919" w:rsidRDefault="00EA4919" w:rsidP="00BF4D76">
            <w:pPr>
              <w:pStyle w:val="NoSpacing"/>
              <w:jc w:val="center"/>
              <w:rPr>
                <w:rFonts w:asciiTheme="minorHAnsi" w:hAnsiTheme="minorHAnsi"/>
              </w:rPr>
            </w:pPr>
            <w:r>
              <w:rPr>
                <w:rFonts w:asciiTheme="minorHAnsi" w:hAnsiTheme="minorHAnsi"/>
              </w:rPr>
              <w:t>Of all Applicants (%)</w:t>
            </w:r>
          </w:p>
        </w:tc>
      </w:tr>
      <w:tr w:rsidR="00EA4919" w14:paraId="4F6AB713" w14:textId="77777777" w:rsidTr="00BF4D76">
        <w:tc>
          <w:tcPr>
            <w:tcW w:w="1870" w:type="dxa"/>
            <w:tcBorders>
              <w:top w:val="single" w:sz="4" w:space="0" w:color="auto"/>
              <w:right w:val="nil"/>
            </w:tcBorders>
            <w:vAlign w:val="bottom"/>
          </w:tcPr>
          <w:p w14:paraId="342A5CCD" w14:textId="77777777" w:rsidR="00EA4919" w:rsidRPr="00DC3E7B" w:rsidRDefault="00EA4919" w:rsidP="00BF4D76">
            <w:pPr>
              <w:pStyle w:val="NoSpacing"/>
              <w:jc w:val="center"/>
              <w:rPr>
                <w:rFonts w:asciiTheme="minorHAnsi" w:hAnsiTheme="minorHAnsi"/>
                <w:u w:val="single"/>
              </w:rPr>
            </w:pPr>
            <w:r w:rsidRPr="00DC3E7B">
              <w:rPr>
                <w:rFonts w:asciiTheme="minorHAnsi" w:hAnsiTheme="minorHAnsi"/>
                <w:u w:val="single"/>
              </w:rPr>
              <w:t>Year</w:t>
            </w:r>
          </w:p>
        </w:tc>
        <w:tc>
          <w:tcPr>
            <w:tcW w:w="1870" w:type="dxa"/>
            <w:tcBorders>
              <w:top w:val="single" w:sz="4" w:space="0" w:color="auto"/>
              <w:left w:val="nil"/>
              <w:right w:val="nil"/>
            </w:tcBorders>
          </w:tcPr>
          <w:p w14:paraId="5836E489" w14:textId="77777777" w:rsidR="00EA4919" w:rsidRPr="00043FFF" w:rsidRDefault="00EA4919" w:rsidP="00BF4D76">
            <w:pPr>
              <w:pStyle w:val="NoSpacing"/>
              <w:jc w:val="center"/>
              <w:rPr>
                <w:rFonts w:asciiTheme="minorHAnsi" w:hAnsiTheme="minorHAnsi"/>
                <w:u w:val="single"/>
              </w:rPr>
            </w:pPr>
            <w:r w:rsidRPr="00043FFF">
              <w:rPr>
                <w:rFonts w:asciiTheme="minorHAnsi" w:hAnsiTheme="minorHAnsi"/>
                <w:u w:val="single"/>
              </w:rPr>
              <w:t>Lakehead</w:t>
            </w:r>
          </w:p>
        </w:tc>
        <w:tc>
          <w:tcPr>
            <w:tcW w:w="1870" w:type="dxa"/>
            <w:tcBorders>
              <w:top w:val="single" w:sz="4" w:space="0" w:color="auto"/>
              <w:left w:val="nil"/>
              <w:right w:val="nil"/>
            </w:tcBorders>
          </w:tcPr>
          <w:p w14:paraId="4CEA4139" w14:textId="77777777" w:rsidR="00EA4919" w:rsidRPr="00043FFF" w:rsidRDefault="00EA4919" w:rsidP="00BF4D76">
            <w:pPr>
              <w:pStyle w:val="NoSpacing"/>
              <w:jc w:val="center"/>
              <w:rPr>
                <w:rFonts w:asciiTheme="minorHAnsi" w:hAnsiTheme="minorHAnsi"/>
                <w:u w:val="single"/>
              </w:rPr>
            </w:pPr>
            <w:r w:rsidRPr="00043FFF">
              <w:rPr>
                <w:rFonts w:asciiTheme="minorHAnsi" w:hAnsiTheme="minorHAnsi"/>
                <w:u w:val="single"/>
              </w:rPr>
              <w:t>Nipissing</w:t>
            </w:r>
          </w:p>
        </w:tc>
        <w:tc>
          <w:tcPr>
            <w:tcW w:w="1870" w:type="dxa"/>
            <w:tcBorders>
              <w:top w:val="single" w:sz="4" w:space="0" w:color="auto"/>
              <w:left w:val="nil"/>
              <w:right w:val="nil"/>
            </w:tcBorders>
          </w:tcPr>
          <w:p w14:paraId="51D4FF4C" w14:textId="77777777" w:rsidR="00EA4919" w:rsidRPr="00043FFF" w:rsidRDefault="00EA4919" w:rsidP="00BF4D76">
            <w:pPr>
              <w:pStyle w:val="NoSpacing"/>
              <w:jc w:val="center"/>
              <w:rPr>
                <w:rFonts w:asciiTheme="minorHAnsi" w:hAnsiTheme="minorHAnsi"/>
                <w:u w:val="single"/>
              </w:rPr>
            </w:pPr>
            <w:r w:rsidRPr="00043FFF">
              <w:rPr>
                <w:rFonts w:asciiTheme="minorHAnsi" w:hAnsiTheme="minorHAnsi"/>
                <w:u w:val="single"/>
              </w:rPr>
              <w:t>U. Ottawa</w:t>
            </w:r>
          </w:p>
        </w:tc>
        <w:tc>
          <w:tcPr>
            <w:tcW w:w="1870" w:type="dxa"/>
            <w:tcBorders>
              <w:top w:val="single" w:sz="4" w:space="0" w:color="auto"/>
              <w:left w:val="nil"/>
            </w:tcBorders>
          </w:tcPr>
          <w:p w14:paraId="7352ED68" w14:textId="77777777" w:rsidR="00EA4919" w:rsidRPr="00043FFF" w:rsidRDefault="00EA4919" w:rsidP="00BF4D76">
            <w:pPr>
              <w:pStyle w:val="NoSpacing"/>
              <w:jc w:val="center"/>
              <w:rPr>
                <w:rFonts w:asciiTheme="minorHAnsi" w:hAnsiTheme="minorHAnsi"/>
                <w:u w:val="single"/>
              </w:rPr>
            </w:pPr>
            <w:r w:rsidRPr="00043FFF">
              <w:rPr>
                <w:rFonts w:asciiTheme="minorHAnsi" w:hAnsiTheme="minorHAnsi"/>
                <w:u w:val="single"/>
              </w:rPr>
              <w:t>York</w:t>
            </w:r>
          </w:p>
        </w:tc>
      </w:tr>
      <w:tr w:rsidR="00EA4919" w14:paraId="77C49C55" w14:textId="77777777" w:rsidTr="00BF4D76">
        <w:tc>
          <w:tcPr>
            <w:tcW w:w="1870" w:type="dxa"/>
            <w:tcBorders>
              <w:right w:val="nil"/>
            </w:tcBorders>
          </w:tcPr>
          <w:p w14:paraId="4BFE3D53" w14:textId="77777777" w:rsidR="00EA4919" w:rsidRDefault="00EA4919" w:rsidP="00BF4D76">
            <w:pPr>
              <w:pStyle w:val="NoSpacing"/>
              <w:jc w:val="center"/>
              <w:rPr>
                <w:rFonts w:asciiTheme="minorHAnsi" w:hAnsiTheme="minorHAnsi"/>
              </w:rPr>
            </w:pPr>
            <w:r>
              <w:rPr>
                <w:rFonts w:asciiTheme="minorHAnsi" w:hAnsiTheme="minorHAnsi"/>
              </w:rPr>
              <w:t>2012</w:t>
            </w:r>
          </w:p>
        </w:tc>
        <w:tc>
          <w:tcPr>
            <w:tcW w:w="1870" w:type="dxa"/>
            <w:tcBorders>
              <w:left w:val="nil"/>
              <w:right w:val="nil"/>
            </w:tcBorders>
          </w:tcPr>
          <w:p w14:paraId="738388CB" w14:textId="77777777" w:rsidR="00EA4919" w:rsidRDefault="00EA4919" w:rsidP="00BF4D76">
            <w:pPr>
              <w:jc w:val="center"/>
            </w:pPr>
            <w:r w:rsidRPr="00856EBD">
              <w:rPr>
                <w:rFonts w:asciiTheme="minorHAnsi" w:hAnsiTheme="minorHAnsi"/>
              </w:rPr>
              <w:t>Unavailable</w:t>
            </w:r>
          </w:p>
        </w:tc>
        <w:tc>
          <w:tcPr>
            <w:tcW w:w="1870" w:type="dxa"/>
            <w:tcBorders>
              <w:left w:val="nil"/>
              <w:right w:val="nil"/>
            </w:tcBorders>
          </w:tcPr>
          <w:p w14:paraId="1823C650" w14:textId="77777777" w:rsidR="00EA4919" w:rsidRDefault="00EA4919" w:rsidP="00BF4D76">
            <w:pPr>
              <w:pStyle w:val="NoSpacing"/>
              <w:jc w:val="center"/>
              <w:rPr>
                <w:rFonts w:asciiTheme="minorHAnsi" w:hAnsiTheme="minorHAnsi"/>
              </w:rPr>
            </w:pPr>
            <w:r>
              <w:rPr>
                <w:rFonts w:asciiTheme="minorHAnsi" w:hAnsiTheme="minorHAnsi"/>
              </w:rPr>
              <w:t>0.98</w:t>
            </w:r>
          </w:p>
        </w:tc>
        <w:tc>
          <w:tcPr>
            <w:tcW w:w="1870" w:type="dxa"/>
            <w:tcBorders>
              <w:left w:val="nil"/>
              <w:right w:val="nil"/>
            </w:tcBorders>
          </w:tcPr>
          <w:p w14:paraId="2F7BBA90" w14:textId="77777777" w:rsidR="00EA4919" w:rsidRDefault="00EA4919" w:rsidP="00BF4D76">
            <w:pPr>
              <w:pStyle w:val="NoSpacing"/>
              <w:jc w:val="center"/>
              <w:rPr>
                <w:rFonts w:asciiTheme="minorHAnsi" w:hAnsiTheme="minorHAnsi"/>
              </w:rPr>
            </w:pPr>
            <w:r>
              <w:rPr>
                <w:rFonts w:asciiTheme="minorHAnsi" w:hAnsiTheme="minorHAnsi"/>
              </w:rPr>
              <w:t>0.93</w:t>
            </w:r>
          </w:p>
        </w:tc>
        <w:tc>
          <w:tcPr>
            <w:tcW w:w="1870" w:type="dxa"/>
            <w:tcBorders>
              <w:left w:val="nil"/>
            </w:tcBorders>
          </w:tcPr>
          <w:p w14:paraId="38B0F570" w14:textId="77777777" w:rsidR="00EA4919" w:rsidRDefault="00EA4919" w:rsidP="00BF4D76">
            <w:pPr>
              <w:pStyle w:val="NoSpacing"/>
              <w:jc w:val="center"/>
              <w:rPr>
                <w:rFonts w:asciiTheme="minorHAnsi" w:hAnsiTheme="minorHAnsi"/>
              </w:rPr>
            </w:pPr>
            <w:r>
              <w:rPr>
                <w:rFonts w:asciiTheme="minorHAnsi" w:hAnsiTheme="minorHAnsi"/>
              </w:rPr>
              <w:t>6.99</w:t>
            </w:r>
          </w:p>
        </w:tc>
      </w:tr>
      <w:tr w:rsidR="00EA4919" w14:paraId="11815058" w14:textId="77777777" w:rsidTr="00BF4D76">
        <w:tc>
          <w:tcPr>
            <w:tcW w:w="1870" w:type="dxa"/>
            <w:tcBorders>
              <w:right w:val="nil"/>
            </w:tcBorders>
          </w:tcPr>
          <w:p w14:paraId="4CAE5021" w14:textId="77777777" w:rsidR="00EA4919" w:rsidRDefault="00EA4919" w:rsidP="00BF4D76">
            <w:pPr>
              <w:pStyle w:val="NoSpacing"/>
              <w:jc w:val="center"/>
              <w:rPr>
                <w:rFonts w:asciiTheme="minorHAnsi" w:hAnsiTheme="minorHAnsi"/>
              </w:rPr>
            </w:pPr>
            <w:r>
              <w:rPr>
                <w:rFonts w:asciiTheme="minorHAnsi" w:hAnsiTheme="minorHAnsi"/>
              </w:rPr>
              <w:t>2013</w:t>
            </w:r>
          </w:p>
        </w:tc>
        <w:tc>
          <w:tcPr>
            <w:tcW w:w="1870" w:type="dxa"/>
            <w:tcBorders>
              <w:left w:val="nil"/>
              <w:right w:val="nil"/>
            </w:tcBorders>
          </w:tcPr>
          <w:p w14:paraId="5644E784" w14:textId="77777777" w:rsidR="00EA4919" w:rsidRDefault="00EA4919" w:rsidP="00BF4D76">
            <w:pPr>
              <w:jc w:val="center"/>
            </w:pPr>
            <w:r w:rsidRPr="00856EBD">
              <w:rPr>
                <w:rFonts w:asciiTheme="minorHAnsi" w:hAnsiTheme="minorHAnsi"/>
              </w:rPr>
              <w:t>Unavailable</w:t>
            </w:r>
          </w:p>
        </w:tc>
        <w:tc>
          <w:tcPr>
            <w:tcW w:w="1870" w:type="dxa"/>
            <w:tcBorders>
              <w:left w:val="nil"/>
              <w:right w:val="nil"/>
            </w:tcBorders>
          </w:tcPr>
          <w:p w14:paraId="2C729184" w14:textId="77777777" w:rsidR="00EA4919" w:rsidRDefault="00EA4919" w:rsidP="00BF4D76">
            <w:pPr>
              <w:pStyle w:val="NoSpacing"/>
              <w:jc w:val="center"/>
              <w:rPr>
                <w:rFonts w:asciiTheme="minorHAnsi" w:hAnsiTheme="minorHAnsi"/>
              </w:rPr>
            </w:pPr>
            <w:r>
              <w:rPr>
                <w:rFonts w:asciiTheme="minorHAnsi" w:hAnsiTheme="minorHAnsi"/>
              </w:rPr>
              <w:t>0.58</w:t>
            </w:r>
          </w:p>
        </w:tc>
        <w:tc>
          <w:tcPr>
            <w:tcW w:w="1870" w:type="dxa"/>
            <w:tcBorders>
              <w:left w:val="nil"/>
              <w:right w:val="nil"/>
            </w:tcBorders>
          </w:tcPr>
          <w:p w14:paraId="42453145" w14:textId="77777777" w:rsidR="00EA4919" w:rsidRDefault="00EA4919" w:rsidP="00BF4D76">
            <w:pPr>
              <w:pStyle w:val="NoSpacing"/>
              <w:jc w:val="center"/>
              <w:rPr>
                <w:rFonts w:asciiTheme="minorHAnsi" w:hAnsiTheme="minorHAnsi"/>
              </w:rPr>
            </w:pPr>
            <w:r>
              <w:rPr>
                <w:rFonts w:asciiTheme="minorHAnsi" w:hAnsiTheme="minorHAnsi"/>
              </w:rPr>
              <w:t>1.36</w:t>
            </w:r>
          </w:p>
        </w:tc>
        <w:tc>
          <w:tcPr>
            <w:tcW w:w="1870" w:type="dxa"/>
            <w:tcBorders>
              <w:left w:val="nil"/>
            </w:tcBorders>
          </w:tcPr>
          <w:p w14:paraId="7380065F" w14:textId="77777777" w:rsidR="00EA4919" w:rsidRDefault="00EA4919" w:rsidP="00BF4D76">
            <w:pPr>
              <w:pStyle w:val="NoSpacing"/>
              <w:jc w:val="center"/>
              <w:rPr>
                <w:rFonts w:asciiTheme="minorHAnsi" w:hAnsiTheme="minorHAnsi"/>
              </w:rPr>
            </w:pPr>
            <w:r>
              <w:rPr>
                <w:rFonts w:asciiTheme="minorHAnsi" w:hAnsiTheme="minorHAnsi"/>
              </w:rPr>
              <w:t>5.83</w:t>
            </w:r>
          </w:p>
        </w:tc>
      </w:tr>
      <w:tr w:rsidR="00EA4919" w14:paraId="591C30A7" w14:textId="77777777" w:rsidTr="00BF4D76">
        <w:tc>
          <w:tcPr>
            <w:tcW w:w="1870" w:type="dxa"/>
            <w:tcBorders>
              <w:right w:val="nil"/>
            </w:tcBorders>
          </w:tcPr>
          <w:p w14:paraId="28F3EDC0" w14:textId="77777777" w:rsidR="00EA4919" w:rsidRDefault="00EA4919" w:rsidP="00BF4D76">
            <w:pPr>
              <w:pStyle w:val="NoSpacing"/>
              <w:jc w:val="center"/>
              <w:rPr>
                <w:rFonts w:asciiTheme="minorHAnsi" w:hAnsiTheme="minorHAnsi"/>
              </w:rPr>
            </w:pPr>
            <w:r>
              <w:rPr>
                <w:rFonts w:asciiTheme="minorHAnsi" w:hAnsiTheme="minorHAnsi"/>
              </w:rPr>
              <w:t>2014</w:t>
            </w:r>
          </w:p>
        </w:tc>
        <w:tc>
          <w:tcPr>
            <w:tcW w:w="1870" w:type="dxa"/>
            <w:tcBorders>
              <w:left w:val="nil"/>
              <w:right w:val="nil"/>
            </w:tcBorders>
          </w:tcPr>
          <w:p w14:paraId="30F4B7EA" w14:textId="77777777" w:rsidR="00EA4919" w:rsidRDefault="00EA4919" w:rsidP="00BF4D76">
            <w:pPr>
              <w:jc w:val="center"/>
            </w:pPr>
            <w:r w:rsidRPr="00856EBD">
              <w:rPr>
                <w:rFonts w:asciiTheme="minorHAnsi" w:hAnsiTheme="minorHAnsi"/>
              </w:rPr>
              <w:t>Unavailable</w:t>
            </w:r>
          </w:p>
        </w:tc>
        <w:tc>
          <w:tcPr>
            <w:tcW w:w="1870" w:type="dxa"/>
            <w:tcBorders>
              <w:left w:val="nil"/>
              <w:right w:val="nil"/>
            </w:tcBorders>
          </w:tcPr>
          <w:p w14:paraId="37406BB1" w14:textId="77777777" w:rsidR="00EA4919" w:rsidRDefault="00EA4919" w:rsidP="00BF4D76">
            <w:pPr>
              <w:pStyle w:val="NoSpacing"/>
              <w:jc w:val="center"/>
              <w:rPr>
                <w:rFonts w:asciiTheme="minorHAnsi" w:hAnsiTheme="minorHAnsi"/>
              </w:rPr>
            </w:pPr>
            <w:r>
              <w:rPr>
                <w:rFonts w:asciiTheme="minorHAnsi" w:hAnsiTheme="minorHAnsi"/>
              </w:rPr>
              <w:t>0.83</w:t>
            </w:r>
          </w:p>
        </w:tc>
        <w:tc>
          <w:tcPr>
            <w:tcW w:w="1870" w:type="dxa"/>
            <w:tcBorders>
              <w:left w:val="nil"/>
              <w:right w:val="nil"/>
            </w:tcBorders>
          </w:tcPr>
          <w:p w14:paraId="3D703D6B" w14:textId="77777777" w:rsidR="00EA4919" w:rsidRDefault="00EA4919" w:rsidP="00BF4D76">
            <w:pPr>
              <w:pStyle w:val="NoSpacing"/>
              <w:jc w:val="center"/>
              <w:rPr>
                <w:rFonts w:asciiTheme="minorHAnsi" w:hAnsiTheme="minorHAnsi"/>
              </w:rPr>
            </w:pPr>
            <w:r>
              <w:rPr>
                <w:rFonts w:asciiTheme="minorHAnsi" w:hAnsiTheme="minorHAnsi"/>
              </w:rPr>
              <w:t>1.28</w:t>
            </w:r>
          </w:p>
        </w:tc>
        <w:tc>
          <w:tcPr>
            <w:tcW w:w="1870" w:type="dxa"/>
            <w:tcBorders>
              <w:left w:val="nil"/>
            </w:tcBorders>
          </w:tcPr>
          <w:p w14:paraId="15F0FCBA" w14:textId="77777777" w:rsidR="00EA4919" w:rsidRDefault="00EA4919" w:rsidP="00BF4D76">
            <w:pPr>
              <w:pStyle w:val="NoSpacing"/>
              <w:jc w:val="center"/>
              <w:rPr>
                <w:rFonts w:asciiTheme="minorHAnsi" w:hAnsiTheme="minorHAnsi"/>
              </w:rPr>
            </w:pPr>
            <w:r>
              <w:rPr>
                <w:rFonts w:asciiTheme="minorHAnsi" w:hAnsiTheme="minorHAnsi"/>
              </w:rPr>
              <w:t>4.99</w:t>
            </w:r>
          </w:p>
        </w:tc>
      </w:tr>
      <w:tr w:rsidR="00EA4919" w14:paraId="661434B6" w14:textId="77777777" w:rsidTr="00BF4D76">
        <w:tc>
          <w:tcPr>
            <w:tcW w:w="1870" w:type="dxa"/>
            <w:tcBorders>
              <w:right w:val="nil"/>
            </w:tcBorders>
          </w:tcPr>
          <w:p w14:paraId="298362A4" w14:textId="77777777" w:rsidR="00EA4919" w:rsidRDefault="00EA4919" w:rsidP="00BF4D76">
            <w:pPr>
              <w:pStyle w:val="NoSpacing"/>
              <w:jc w:val="center"/>
              <w:rPr>
                <w:rFonts w:asciiTheme="minorHAnsi" w:hAnsiTheme="minorHAnsi"/>
              </w:rPr>
            </w:pPr>
            <w:r>
              <w:rPr>
                <w:rFonts w:asciiTheme="minorHAnsi" w:hAnsiTheme="minorHAnsi"/>
              </w:rPr>
              <w:t>2015</w:t>
            </w:r>
          </w:p>
        </w:tc>
        <w:tc>
          <w:tcPr>
            <w:tcW w:w="1870" w:type="dxa"/>
            <w:tcBorders>
              <w:left w:val="nil"/>
              <w:right w:val="nil"/>
            </w:tcBorders>
          </w:tcPr>
          <w:p w14:paraId="306BFD9A" w14:textId="77777777" w:rsidR="00EA4919" w:rsidRDefault="00EA4919" w:rsidP="00BF4D76">
            <w:pPr>
              <w:jc w:val="center"/>
            </w:pPr>
            <w:r w:rsidRPr="00856EBD">
              <w:rPr>
                <w:rFonts w:asciiTheme="minorHAnsi" w:hAnsiTheme="minorHAnsi"/>
              </w:rPr>
              <w:t>Unavailable</w:t>
            </w:r>
          </w:p>
        </w:tc>
        <w:tc>
          <w:tcPr>
            <w:tcW w:w="1870" w:type="dxa"/>
            <w:tcBorders>
              <w:left w:val="nil"/>
              <w:right w:val="nil"/>
            </w:tcBorders>
          </w:tcPr>
          <w:p w14:paraId="39ECD67C" w14:textId="77777777" w:rsidR="00EA4919" w:rsidRDefault="00EA4919" w:rsidP="00BF4D76">
            <w:pPr>
              <w:pStyle w:val="NoSpacing"/>
              <w:jc w:val="center"/>
              <w:rPr>
                <w:rFonts w:asciiTheme="minorHAnsi" w:hAnsiTheme="minorHAnsi"/>
              </w:rPr>
            </w:pPr>
            <w:r>
              <w:rPr>
                <w:rFonts w:asciiTheme="minorHAnsi" w:hAnsiTheme="minorHAnsi"/>
              </w:rPr>
              <w:t>0.90</w:t>
            </w:r>
          </w:p>
        </w:tc>
        <w:tc>
          <w:tcPr>
            <w:tcW w:w="1870" w:type="dxa"/>
            <w:tcBorders>
              <w:left w:val="nil"/>
              <w:right w:val="nil"/>
            </w:tcBorders>
          </w:tcPr>
          <w:p w14:paraId="4DED2F35" w14:textId="77777777" w:rsidR="00EA4919" w:rsidRDefault="00EA4919" w:rsidP="00BF4D76">
            <w:pPr>
              <w:pStyle w:val="NoSpacing"/>
              <w:jc w:val="center"/>
              <w:rPr>
                <w:rFonts w:asciiTheme="minorHAnsi" w:hAnsiTheme="minorHAnsi"/>
              </w:rPr>
            </w:pPr>
            <w:r>
              <w:rPr>
                <w:rFonts w:asciiTheme="minorHAnsi" w:hAnsiTheme="minorHAnsi"/>
              </w:rPr>
              <w:t>1.35</w:t>
            </w:r>
          </w:p>
        </w:tc>
        <w:tc>
          <w:tcPr>
            <w:tcW w:w="1870" w:type="dxa"/>
            <w:tcBorders>
              <w:left w:val="nil"/>
            </w:tcBorders>
          </w:tcPr>
          <w:p w14:paraId="1F38EE21" w14:textId="77777777" w:rsidR="00EA4919" w:rsidRDefault="00EA4919" w:rsidP="00BF4D76">
            <w:pPr>
              <w:pStyle w:val="NoSpacing"/>
              <w:jc w:val="center"/>
              <w:rPr>
                <w:rFonts w:asciiTheme="minorHAnsi" w:hAnsiTheme="minorHAnsi"/>
              </w:rPr>
            </w:pPr>
            <w:r>
              <w:rPr>
                <w:rFonts w:asciiTheme="minorHAnsi" w:hAnsiTheme="minorHAnsi"/>
              </w:rPr>
              <w:t>5.30</w:t>
            </w:r>
          </w:p>
        </w:tc>
      </w:tr>
      <w:tr w:rsidR="00EA4919" w14:paraId="193E5AEC" w14:textId="77777777" w:rsidTr="00BF4D76">
        <w:tc>
          <w:tcPr>
            <w:tcW w:w="1870" w:type="dxa"/>
            <w:tcBorders>
              <w:bottom w:val="single" w:sz="4" w:space="0" w:color="auto"/>
              <w:right w:val="nil"/>
            </w:tcBorders>
          </w:tcPr>
          <w:p w14:paraId="30372A52" w14:textId="77777777" w:rsidR="00EA4919" w:rsidRDefault="00EA4919" w:rsidP="00BF4D76">
            <w:pPr>
              <w:pStyle w:val="NoSpacing"/>
              <w:jc w:val="center"/>
              <w:rPr>
                <w:rFonts w:asciiTheme="minorHAnsi" w:hAnsiTheme="minorHAnsi"/>
              </w:rPr>
            </w:pPr>
            <w:r>
              <w:rPr>
                <w:rFonts w:asciiTheme="minorHAnsi" w:hAnsiTheme="minorHAnsi"/>
              </w:rPr>
              <w:t>2016</w:t>
            </w:r>
          </w:p>
        </w:tc>
        <w:tc>
          <w:tcPr>
            <w:tcW w:w="1870" w:type="dxa"/>
            <w:tcBorders>
              <w:left w:val="nil"/>
              <w:bottom w:val="single" w:sz="4" w:space="0" w:color="auto"/>
              <w:right w:val="nil"/>
            </w:tcBorders>
          </w:tcPr>
          <w:p w14:paraId="4F5F5D76" w14:textId="77777777" w:rsidR="00EA4919" w:rsidRDefault="00EA4919" w:rsidP="00BF4D76">
            <w:pPr>
              <w:jc w:val="center"/>
            </w:pPr>
            <w:r w:rsidRPr="00856EBD">
              <w:rPr>
                <w:rFonts w:asciiTheme="minorHAnsi" w:hAnsiTheme="minorHAnsi"/>
              </w:rPr>
              <w:t>Unavailable</w:t>
            </w:r>
          </w:p>
        </w:tc>
        <w:tc>
          <w:tcPr>
            <w:tcW w:w="1870" w:type="dxa"/>
            <w:tcBorders>
              <w:left w:val="nil"/>
              <w:bottom w:val="single" w:sz="4" w:space="0" w:color="auto"/>
              <w:right w:val="nil"/>
            </w:tcBorders>
          </w:tcPr>
          <w:p w14:paraId="18915142" w14:textId="77777777" w:rsidR="00EA4919" w:rsidRDefault="00EA4919" w:rsidP="00BF4D76">
            <w:pPr>
              <w:pStyle w:val="NoSpacing"/>
              <w:jc w:val="center"/>
              <w:rPr>
                <w:rFonts w:asciiTheme="minorHAnsi" w:hAnsiTheme="minorHAnsi"/>
              </w:rPr>
            </w:pPr>
            <w:r>
              <w:rPr>
                <w:rFonts w:asciiTheme="minorHAnsi" w:hAnsiTheme="minorHAnsi"/>
              </w:rPr>
              <w:t>1.02</w:t>
            </w:r>
          </w:p>
        </w:tc>
        <w:tc>
          <w:tcPr>
            <w:tcW w:w="1870" w:type="dxa"/>
            <w:tcBorders>
              <w:left w:val="nil"/>
              <w:bottom w:val="single" w:sz="4" w:space="0" w:color="auto"/>
              <w:right w:val="nil"/>
            </w:tcBorders>
          </w:tcPr>
          <w:p w14:paraId="19E71F34" w14:textId="77777777" w:rsidR="00EA4919" w:rsidRDefault="00EA4919" w:rsidP="00BF4D76">
            <w:pPr>
              <w:pStyle w:val="NoSpacing"/>
              <w:jc w:val="center"/>
              <w:rPr>
                <w:rFonts w:asciiTheme="minorHAnsi" w:hAnsiTheme="minorHAnsi"/>
              </w:rPr>
            </w:pPr>
            <w:r>
              <w:rPr>
                <w:rFonts w:asciiTheme="minorHAnsi" w:hAnsiTheme="minorHAnsi"/>
              </w:rPr>
              <w:t>1.20</w:t>
            </w:r>
          </w:p>
        </w:tc>
        <w:tc>
          <w:tcPr>
            <w:tcW w:w="1870" w:type="dxa"/>
            <w:tcBorders>
              <w:left w:val="nil"/>
              <w:bottom w:val="single" w:sz="4" w:space="0" w:color="auto"/>
            </w:tcBorders>
          </w:tcPr>
          <w:p w14:paraId="52A4D9A4" w14:textId="77777777" w:rsidR="00EA4919" w:rsidRDefault="00EA4919" w:rsidP="00BF4D76">
            <w:pPr>
              <w:pStyle w:val="NoSpacing"/>
              <w:jc w:val="center"/>
              <w:rPr>
                <w:rFonts w:asciiTheme="minorHAnsi" w:hAnsiTheme="minorHAnsi"/>
              </w:rPr>
            </w:pPr>
            <w:r>
              <w:rPr>
                <w:rFonts w:asciiTheme="minorHAnsi" w:hAnsiTheme="minorHAnsi"/>
              </w:rPr>
              <w:t>4.55</w:t>
            </w:r>
          </w:p>
        </w:tc>
      </w:tr>
      <w:tr w:rsidR="00EA4919" w14:paraId="1F85F422" w14:textId="77777777" w:rsidTr="00BF4D76">
        <w:tc>
          <w:tcPr>
            <w:tcW w:w="9350" w:type="dxa"/>
            <w:gridSpan w:val="5"/>
            <w:tcBorders>
              <w:top w:val="single" w:sz="4" w:space="0" w:color="auto"/>
              <w:bottom w:val="single" w:sz="4" w:space="0" w:color="auto"/>
            </w:tcBorders>
          </w:tcPr>
          <w:p w14:paraId="0832CA42" w14:textId="77777777" w:rsidR="00EA4919" w:rsidRDefault="00EA4919" w:rsidP="00BF4D76">
            <w:pPr>
              <w:pStyle w:val="NoSpacing"/>
              <w:jc w:val="center"/>
              <w:rPr>
                <w:rFonts w:asciiTheme="minorHAnsi" w:hAnsiTheme="minorHAnsi"/>
              </w:rPr>
            </w:pPr>
            <w:r>
              <w:rPr>
                <w:rFonts w:asciiTheme="minorHAnsi" w:hAnsiTheme="minorHAnsi"/>
              </w:rPr>
              <w:t>Of all Acceptances (%)</w:t>
            </w:r>
          </w:p>
        </w:tc>
      </w:tr>
      <w:tr w:rsidR="00EA4919" w14:paraId="07B1FA04" w14:textId="77777777" w:rsidTr="00BF4D76">
        <w:tc>
          <w:tcPr>
            <w:tcW w:w="1870" w:type="dxa"/>
            <w:tcBorders>
              <w:top w:val="single" w:sz="4" w:space="0" w:color="auto"/>
              <w:right w:val="nil"/>
            </w:tcBorders>
            <w:vAlign w:val="bottom"/>
          </w:tcPr>
          <w:p w14:paraId="70F391FE" w14:textId="77777777" w:rsidR="00EA4919" w:rsidRPr="00DC3E7B" w:rsidRDefault="00EA4919" w:rsidP="00BF4D76">
            <w:pPr>
              <w:pStyle w:val="NoSpacing"/>
              <w:jc w:val="center"/>
              <w:rPr>
                <w:rFonts w:asciiTheme="minorHAnsi" w:hAnsiTheme="minorHAnsi"/>
                <w:u w:val="single"/>
              </w:rPr>
            </w:pPr>
            <w:r w:rsidRPr="00DC3E7B">
              <w:rPr>
                <w:rFonts w:asciiTheme="minorHAnsi" w:hAnsiTheme="minorHAnsi"/>
                <w:u w:val="single"/>
              </w:rPr>
              <w:t>Year</w:t>
            </w:r>
          </w:p>
        </w:tc>
        <w:tc>
          <w:tcPr>
            <w:tcW w:w="1870" w:type="dxa"/>
            <w:tcBorders>
              <w:top w:val="single" w:sz="4" w:space="0" w:color="auto"/>
              <w:left w:val="nil"/>
              <w:right w:val="nil"/>
            </w:tcBorders>
          </w:tcPr>
          <w:p w14:paraId="4B34AEB7" w14:textId="77777777" w:rsidR="00EA4919" w:rsidRPr="00043FFF" w:rsidRDefault="00EA4919" w:rsidP="00BF4D76">
            <w:pPr>
              <w:pStyle w:val="NoSpacing"/>
              <w:jc w:val="center"/>
              <w:rPr>
                <w:rFonts w:asciiTheme="minorHAnsi" w:hAnsiTheme="minorHAnsi"/>
                <w:u w:val="single"/>
              </w:rPr>
            </w:pPr>
            <w:r w:rsidRPr="00043FFF">
              <w:rPr>
                <w:rFonts w:asciiTheme="minorHAnsi" w:hAnsiTheme="minorHAnsi"/>
                <w:u w:val="single"/>
              </w:rPr>
              <w:t>Lakehead</w:t>
            </w:r>
          </w:p>
        </w:tc>
        <w:tc>
          <w:tcPr>
            <w:tcW w:w="1870" w:type="dxa"/>
            <w:tcBorders>
              <w:top w:val="single" w:sz="4" w:space="0" w:color="auto"/>
              <w:left w:val="nil"/>
              <w:right w:val="nil"/>
            </w:tcBorders>
          </w:tcPr>
          <w:p w14:paraId="3F1F7C9F" w14:textId="77777777" w:rsidR="00EA4919" w:rsidRPr="00043FFF" w:rsidRDefault="00EA4919" w:rsidP="00BF4D76">
            <w:pPr>
              <w:pStyle w:val="NoSpacing"/>
              <w:jc w:val="center"/>
              <w:rPr>
                <w:rFonts w:asciiTheme="minorHAnsi" w:hAnsiTheme="minorHAnsi"/>
                <w:u w:val="single"/>
              </w:rPr>
            </w:pPr>
            <w:r w:rsidRPr="00043FFF">
              <w:rPr>
                <w:rFonts w:asciiTheme="minorHAnsi" w:hAnsiTheme="minorHAnsi"/>
                <w:u w:val="single"/>
              </w:rPr>
              <w:t>Nipissing</w:t>
            </w:r>
          </w:p>
        </w:tc>
        <w:tc>
          <w:tcPr>
            <w:tcW w:w="1870" w:type="dxa"/>
            <w:tcBorders>
              <w:top w:val="single" w:sz="4" w:space="0" w:color="auto"/>
              <w:left w:val="nil"/>
              <w:right w:val="nil"/>
            </w:tcBorders>
          </w:tcPr>
          <w:p w14:paraId="35FCA6F2" w14:textId="77777777" w:rsidR="00EA4919" w:rsidRPr="00043FFF" w:rsidRDefault="00EA4919" w:rsidP="00BF4D76">
            <w:pPr>
              <w:pStyle w:val="NoSpacing"/>
              <w:jc w:val="center"/>
              <w:rPr>
                <w:rFonts w:asciiTheme="minorHAnsi" w:hAnsiTheme="minorHAnsi"/>
                <w:u w:val="single"/>
              </w:rPr>
            </w:pPr>
            <w:r w:rsidRPr="00043FFF">
              <w:rPr>
                <w:rFonts w:asciiTheme="minorHAnsi" w:hAnsiTheme="minorHAnsi"/>
                <w:u w:val="single"/>
              </w:rPr>
              <w:t>U. Ottawa</w:t>
            </w:r>
          </w:p>
        </w:tc>
        <w:tc>
          <w:tcPr>
            <w:tcW w:w="1870" w:type="dxa"/>
            <w:tcBorders>
              <w:top w:val="single" w:sz="4" w:space="0" w:color="auto"/>
              <w:left w:val="nil"/>
            </w:tcBorders>
          </w:tcPr>
          <w:p w14:paraId="389D5AD2" w14:textId="77777777" w:rsidR="00EA4919" w:rsidRPr="00043FFF" w:rsidRDefault="00EA4919" w:rsidP="00BF4D76">
            <w:pPr>
              <w:pStyle w:val="NoSpacing"/>
              <w:jc w:val="center"/>
              <w:rPr>
                <w:rFonts w:asciiTheme="minorHAnsi" w:hAnsiTheme="minorHAnsi"/>
                <w:u w:val="single"/>
              </w:rPr>
            </w:pPr>
            <w:r w:rsidRPr="00043FFF">
              <w:rPr>
                <w:rFonts w:asciiTheme="minorHAnsi" w:hAnsiTheme="minorHAnsi"/>
                <w:u w:val="single"/>
              </w:rPr>
              <w:t>York</w:t>
            </w:r>
          </w:p>
        </w:tc>
      </w:tr>
      <w:tr w:rsidR="00EA4919" w14:paraId="18C3EA9F" w14:textId="77777777" w:rsidTr="00BF4D76">
        <w:tc>
          <w:tcPr>
            <w:tcW w:w="1870" w:type="dxa"/>
            <w:tcBorders>
              <w:right w:val="nil"/>
            </w:tcBorders>
          </w:tcPr>
          <w:p w14:paraId="51D1291E" w14:textId="77777777" w:rsidR="00EA4919" w:rsidRDefault="00EA4919" w:rsidP="00BF4D76">
            <w:pPr>
              <w:pStyle w:val="NoSpacing"/>
              <w:jc w:val="center"/>
              <w:rPr>
                <w:rFonts w:asciiTheme="minorHAnsi" w:hAnsiTheme="minorHAnsi"/>
              </w:rPr>
            </w:pPr>
            <w:r>
              <w:rPr>
                <w:rFonts w:asciiTheme="minorHAnsi" w:hAnsiTheme="minorHAnsi"/>
              </w:rPr>
              <w:t>2012</w:t>
            </w:r>
          </w:p>
        </w:tc>
        <w:tc>
          <w:tcPr>
            <w:tcW w:w="1870" w:type="dxa"/>
            <w:tcBorders>
              <w:left w:val="nil"/>
              <w:right w:val="nil"/>
            </w:tcBorders>
          </w:tcPr>
          <w:p w14:paraId="6023508B" w14:textId="77777777" w:rsidR="00EA4919" w:rsidRDefault="00EA4919" w:rsidP="00BF4D76">
            <w:pPr>
              <w:pStyle w:val="NoSpacing"/>
              <w:jc w:val="center"/>
              <w:rPr>
                <w:rFonts w:asciiTheme="minorHAnsi" w:hAnsiTheme="minorHAnsi"/>
              </w:rPr>
            </w:pPr>
            <w:r>
              <w:rPr>
                <w:rFonts w:asciiTheme="minorHAnsi" w:hAnsiTheme="minorHAnsi"/>
              </w:rPr>
              <w:t>4.44</w:t>
            </w:r>
          </w:p>
        </w:tc>
        <w:tc>
          <w:tcPr>
            <w:tcW w:w="1870" w:type="dxa"/>
            <w:tcBorders>
              <w:left w:val="nil"/>
              <w:right w:val="nil"/>
            </w:tcBorders>
          </w:tcPr>
          <w:p w14:paraId="45D5CCDF" w14:textId="77777777" w:rsidR="00EA4919" w:rsidRDefault="00EA4919" w:rsidP="00BF4D76">
            <w:pPr>
              <w:pStyle w:val="NoSpacing"/>
              <w:jc w:val="center"/>
              <w:rPr>
                <w:rFonts w:asciiTheme="minorHAnsi" w:hAnsiTheme="minorHAnsi"/>
              </w:rPr>
            </w:pPr>
            <w:r>
              <w:rPr>
                <w:rFonts w:asciiTheme="minorHAnsi" w:hAnsiTheme="minorHAnsi"/>
              </w:rPr>
              <w:t>0.76</w:t>
            </w:r>
          </w:p>
        </w:tc>
        <w:tc>
          <w:tcPr>
            <w:tcW w:w="1870" w:type="dxa"/>
            <w:tcBorders>
              <w:left w:val="nil"/>
              <w:right w:val="nil"/>
            </w:tcBorders>
          </w:tcPr>
          <w:p w14:paraId="362161D3" w14:textId="77777777" w:rsidR="00EA4919" w:rsidRDefault="00EA4919" w:rsidP="00BF4D76">
            <w:pPr>
              <w:pStyle w:val="NoSpacing"/>
              <w:jc w:val="center"/>
              <w:rPr>
                <w:rFonts w:asciiTheme="minorHAnsi" w:hAnsiTheme="minorHAnsi"/>
              </w:rPr>
            </w:pPr>
            <w:r>
              <w:rPr>
                <w:rFonts w:asciiTheme="minorHAnsi" w:hAnsiTheme="minorHAnsi"/>
              </w:rPr>
              <w:t>1.07</w:t>
            </w:r>
          </w:p>
        </w:tc>
        <w:tc>
          <w:tcPr>
            <w:tcW w:w="1870" w:type="dxa"/>
            <w:tcBorders>
              <w:left w:val="nil"/>
            </w:tcBorders>
          </w:tcPr>
          <w:p w14:paraId="39B2BB30" w14:textId="77777777" w:rsidR="00EA4919" w:rsidRDefault="00EA4919" w:rsidP="00BF4D76">
            <w:pPr>
              <w:pStyle w:val="NoSpacing"/>
              <w:jc w:val="center"/>
              <w:rPr>
                <w:rFonts w:asciiTheme="minorHAnsi" w:hAnsiTheme="minorHAnsi"/>
              </w:rPr>
            </w:pPr>
            <w:r>
              <w:rPr>
                <w:rFonts w:asciiTheme="minorHAnsi" w:hAnsiTheme="minorHAnsi"/>
              </w:rPr>
              <w:t>6.56</w:t>
            </w:r>
          </w:p>
        </w:tc>
      </w:tr>
      <w:tr w:rsidR="00EA4919" w14:paraId="714248E5" w14:textId="77777777" w:rsidTr="00BF4D76">
        <w:tc>
          <w:tcPr>
            <w:tcW w:w="1870" w:type="dxa"/>
            <w:tcBorders>
              <w:right w:val="nil"/>
            </w:tcBorders>
          </w:tcPr>
          <w:p w14:paraId="2F0C827F" w14:textId="77777777" w:rsidR="00EA4919" w:rsidRDefault="00EA4919" w:rsidP="00BF4D76">
            <w:pPr>
              <w:pStyle w:val="NoSpacing"/>
              <w:jc w:val="center"/>
              <w:rPr>
                <w:rFonts w:asciiTheme="minorHAnsi" w:hAnsiTheme="minorHAnsi"/>
              </w:rPr>
            </w:pPr>
            <w:r>
              <w:rPr>
                <w:rFonts w:asciiTheme="minorHAnsi" w:hAnsiTheme="minorHAnsi"/>
              </w:rPr>
              <w:t>2013</w:t>
            </w:r>
          </w:p>
        </w:tc>
        <w:tc>
          <w:tcPr>
            <w:tcW w:w="1870" w:type="dxa"/>
            <w:tcBorders>
              <w:left w:val="nil"/>
              <w:right w:val="nil"/>
            </w:tcBorders>
          </w:tcPr>
          <w:p w14:paraId="0DF7067A" w14:textId="77777777" w:rsidR="00EA4919" w:rsidRDefault="00EA4919" w:rsidP="00BF4D76">
            <w:pPr>
              <w:pStyle w:val="NoSpacing"/>
              <w:jc w:val="center"/>
              <w:rPr>
                <w:rFonts w:asciiTheme="minorHAnsi" w:hAnsiTheme="minorHAnsi"/>
              </w:rPr>
            </w:pPr>
            <w:r>
              <w:rPr>
                <w:rFonts w:asciiTheme="minorHAnsi" w:hAnsiTheme="minorHAnsi"/>
              </w:rPr>
              <w:t>2.25</w:t>
            </w:r>
          </w:p>
        </w:tc>
        <w:tc>
          <w:tcPr>
            <w:tcW w:w="1870" w:type="dxa"/>
            <w:tcBorders>
              <w:left w:val="nil"/>
              <w:right w:val="nil"/>
            </w:tcBorders>
          </w:tcPr>
          <w:p w14:paraId="58C01C9C" w14:textId="77777777" w:rsidR="00EA4919" w:rsidRDefault="00EA4919" w:rsidP="00BF4D76">
            <w:pPr>
              <w:pStyle w:val="NoSpacing"/>
              <w:jc w:val="center"/>
              <w:rPr>
                <w:rFonts w:asciiTheme="minorHAnsi" w:hAnsiTheme="minorHAnsi"/>
              </w:rPr>
            </w:pPr>
            <w:r>
              <w:rPr>
                <w:rFonts w:asciiTheme="minorHAnsi" w:hAnsiTheme="minorHAnsi"/>
              </w:rPr>
              <w:t>1.02</w:t>
            </w:r>
          </w:p>
        </w:tc>
        <w:tc>
          <w:tcPr>
            <w:tcW w:w="1870" w:type="dxa"/>
            <w:tcBorders>
              <w:left w:val="nil"/>
              <w:right w:val="nil"/>
            </w:tcBorders>
          </w:tcPr>
          <w:p w14:paraId="5D165F8B" w14:textId="77777777" w:rsidR="00EA4919" w:rsidRDefault="00EA4919" w:rsidP="00BF4D76">
            <w:pPr>
              <w:pStyle w:val="NoSpacing"/>
              <w:jc w:val="center"/>
              <w:rPr>
                <w:rFonts w:asciiTheme="minorHAnsi" w:hAnsiTheme="minorHAnsi"/>
              </w:rPr>
            </w:pPr>
            <w:r>
              <w:rPr>
                <w:rFonts w:asciiTheme="minorHAnsi" w:hAnsiTheme="minorHAnsi"/>
              </w:rPr>
              <w:t>1.56</w:t>
            </w:r>
          </w:p>
        </w:tc>
        <w:tc>
          <w:tcPr>
            <w:tcW w:w="1870" w:type="dxa"/>
            <w:tcBorders>
              <w:left w:val="nil"/>
            </w:tcBorders>
          </w:tcPr>
          <w:p w14:paraId="3E5C2D4A" w14:textId="77777777" w:rsidR="00EA4919" w:rsidRDefault="00EA4919" w:rsidP="00BF4D76">
            <w:pPr>
              <w:pStyle w:val="NoSpacing"/>
              <w:jc w:val="center"/>
              <w:rPr>
                <w:rFonts w:asciiTheme="minorHAnsi" w:hAnsiTheme="minorHAnsi"/>
              </w:rPr>
            </w:pPr>
            <w:r>
              <w:rPr>
                <w:rFonts w:asciiTheme="minorHAnsi" w:hAnsiTheme="minorHAnsi"/>
              </w:rPr>
              <w:t>8.08</w:t>
            </w:r>
          </w:p>
        </w:tc>
      </w:tr>
      <w:tr w:rsidR="00EA4919" w14:paraId="0D0C20FC" w14:textId="77777777" w:rsidTr="00BF4D76">
        <w:tc>
          <w:tcPr>
            <w:tcW w:w="1870" w:type="dxa"/>
            <w:tcBorders>
              <w:right w:val="nil"/>
            </w:tcBorders>
          </w:tcPr>
          <w:p w14:paraId="16F3714E" w14:textId="77777777" w:rsidR="00EA4919" w:rsidRDefault="00EA4919" w:rsidP="00BF4D76">
            <w:pPr>
              <w:pStyle w:val="NoSpacing"/>
              <w:jc w:val="center"/>
              <w:rPr>
                <w:rFonts w:asciiTheme="minorHAnsi" w:hAnsiTheme="minorHAnsi"/>
              </w:rPr>
            </w:pPr>
            <w:r>
              <w:rPr>
                <w:rFonts w:asciiTheme="minorHAnsi" w:hAnsiTheme="minorHAnsi"/>
              </w:rPr>
              <w:t>2014</w:t>
            </w:r>
          </w:p>
        </w:tc>
        <w:tc>
          <w:tcPr>
            <w:tcW w:w="1870" w:type="dxa"/>
            <w:tcBorders>
              <w:left w:val="nil"/>
              <w:right w:val="nil"/>
            </w:tcBorders>
          </w:tcPr>
          <w:p w14:paraId="144E7769" w14:textId="77777777" w:rsidR="00EA4919" w:rsidRDefault="00EA4919" w:rsidP="00BF4D76">
            <w:pPr>
              <w:pStyle w:val="NoSpacing"/>
              <w:jc w:val="center"/>
              <w:rPr>
                <w:rFonts w:asciiTheme="minorHAnsi" w:hAnsiTheme="minorHAnsi"/>
              </w:rPr>
            </w:pPr>
            <w:r>
              <w:rPr>
                <w:rFonts w:asciiTheme="minorHAnsi" w:hAnsiTheme="minorHAnsi"/>
              </w:rPr>
              <w:t>4.69</w:t>
            </w:r>
          </w:p>
        </w:tc>
        <w:tc>
          <w:tcPr>
            <w:tcW w:w="1870" w:type="dxa"/>
            <w:tcBorders>
              <w:left w:val="nil"/>
              <w:right w:val="nil"/>
            </w:tcBorders>
          </w:tcPr>
          <w:p w14:paraId="2147A1DB" w14:textId="77777777" w:rsidR="00EA4919" w:rsidRDefault="00EA4919" w:rsidP="00BF4D76">
            <w:pPr>
              <w:pStyle w:val="NoSpacing"/>
              <w:jc w:val="center"/>
              <w:rPr>
                <w:rFonts w:asciiTheme="minorHAnsi" w:hAnsiTheme="minorHAnsi"/>
              </w:rPr>
            </w:pPr>
            <w:r>
              <w:rPr>
                <w:rFonts w:asciiTheme="minorHAnsi" w:hAnsiTheme="minorHAnsi"/>
              </w:rPr>
              <w:t>0.85</w:t>
            </w:r>
          </w:p>
        </w:tc>
        <w:tc>
          <w:tcPr>
            <w:tcW w:w="1870" w:type="dxa"/>
            <w:tcBorders>
              <w:left w:val="nil"/>
              <w:right w:val="nil"/>
            </w:tcBorders>
          </w:tcPr>
          <w:p w14:paraId="54191690" w14:textId="77777777" w:rsidR="00EA4919" w:rsidRDefault="00EA4919" w:rsidP="00BF4D76">
            <w:pPr>
              <w:pStyle w:val="NoSpacing"/>
              <w:jc w:val="center"/>
              <w:rPr>
                <w:rFonts w:asciiTheme="minorHAnsi" w:hAnsiTheme="minorHAnsi"/>
              </w:rPr>
            </w:pPr>
            <w:r>
              <w:rPr>
                <w:rFonts w:asciiTheme="minorHAnsi" w:hAnsiTheme="minorHAnsi"/>
              </w:rPr>
              <w:t>1.19</w:t>
            </w:r>
          </w:p>
        </w:tc>
        <w:tc>
          <w:tcPr>
            <w:tcW w:w="1870" w:type="dxa"/>
            <w:tcBorders>
              <w:left w:val="nil"/>
            </w:tcBorders>
          </w:tcPr>
          <w:p w14:paraId="61838181" w14:textId="77777777" w:rsidR="00EA4919" w:rsidRDefault="00EA4919" w:rsidP="00BF4D76">
            <w:pPr>
              <w:pStyle w:val="NoSpacing"/>
              <w:jc w:val="center"/>
              <w:rPr>
                <w:rFonts w:asciiTheme="minorHAnsi" w:hAnsiTheme="minorHAnsi"/>
              </w:rPr>
            </w:pPr>
            <w:r>
              <w:rPr>
                <w:rFonts w:asciiTheme="minorHAnsi" w:hAnsiTheme="minorHAnsi"/>
              </w:rPr>
              <w:t>6.90</w:t>
            </w:r>
          </w:p>
        </w:tc>
      </w:tr>
      <w:tr w:rsidR="00EA4919" w14:paraId="4B0B98B0" w14:textId="77777777" w:rsidTr="00BF4D76">
        <w:tc>
          <w:tcPr>
            <w:tcW w:w="1870" w:type="dxa"/>
            <w:tcBorders>
              <w:right w:val="nil"/>
            </w:tcBorders>
          </w:tcPr>
          <w:p w14:paraId="255A2556" w14:textId="77777777" w:rsidR="00EA4919" w:rsidRDefault="00EA4919" w:rsidP="00BF4D76">
            <w:pPr>
              <w:pStyle w:val="NoSpacing"/>
              <w:jc w:val="center"/>
              <w:rPr>
                <w:rFonts w:asciiTheme="minorHAnsi" w:hAnsiTheme="minorHAnsi"/>
              </w:rPr>
            </w:pPr>
            <w:r>
              <w:rPr>
                <w:rFonts w:asciiTheme="minorHAnsi" w:hAnsiTheme="minorHAnsi"/>
              </w:rPr>
              <w:t>2015</w:t>
            </w:r>
          </w:p>
        </w:tc>
        <w:tc>
          <w:tcPr>
            <w:tcW w:w="1870" w:type="dxa"/>
            <w:tcBorders>
              <w:left w:val="nil"/>
              <w:right w:val="nil"/>
            </w:tcBorders>
          </w:tcPr>
          <w:p w14:paraId="0E571A27" w14:textId="77777777" w:rsidR="00EA4919" w:rsidRDefault="00EA4919" w:rsidP="00BF4D76">
            <w:pPr>
              <w:pStyle w:val="NoSpacing"/>
              <w:jc w:val="center"/>
              <w:rPr>
                <w:rFonts w:asciiTheme="minorHAnsi" w:hAnsiTheme="minorHAnsi"/>
              </w:rPr>
            </w:pPr>
            <w:r>
              <w:rPr>
                <w:rFonts w:asciiTheme="minorHAnsi" w:hAnsiTheme="minorHAnsi"/>
              </w:rPr>
              <w:t>8.15</w:t>
            </w:r>
          </w:p>
        </w:tc>
        <w:tc>
          <w:tcPr>
            <w:tcW w:w="1870" w:type="dxa"/>
            <w:tcBorders>
              <w:left w:val="nil"/>
              <w:right w:val="nil"/>
            </w:tcBorders>
          </w:tcPr>
          <w:p w14:paraId="3E930FB4" w14:textId="77777777" w:rsidR="00EA4919" w:rsidRDefault="00EA4919" w:rsidP="00BF4D76">
            <w:pPr>
              <w:pStyle w:val="NoSpacing"/>
              <w:jc w:val="center"/>
              <w:rPr>
                <w:rFonts w:asciiTheme="minorHAnsi" w:hAnsiTheme="minorHAnsi"/>
              </w:rPr>
            </w:pPr>
            <w:r>
              <w:rPr>
                <w:rFonts w:asciiTheme="minorHAnsi" w:hAnsiTheme="minorHAnsi"/>
              </w:rPr>
              <w:t>0.52</w:t>
            </w:r>
          </w:p>
        </w:tc>
        <w:tc>
          <w:tcPr>
            <w:tcW w:w="1870" w:type="dxa"/>
            <w:tcBorders>
              <w:left w:val="nil"/>
              <w:right w:val="nil"/>
            </w:tcBorders>
          </w:tcPr>
          <w:p w14:paraId="2ACE3573" w14:textId="77777777" w:rsidR="00EA4919" w:rsidRDefault="00EA4919" w:rsidP="00BF4D76">
            <w:pPr>
              <w:pStyle w:val="NoSpacing"/>
              <w:jc w:val="center"/>
              <w:rPr>
                <w:rFonts w:asciiTheme="minorHAnsi" w:hAnsiTheme="minorHAnsi"/>
              </w:rPr>
            </w:pPr>
            <w:r>
              <w:rPr>
                <w:rFonts w:asciiTheme="minorHAnsi" w:hAnsiTheme="minorHAnsi"/>
              </w:rPr>
              <w:t>1.09</w:t>
            </w:r>
          </w:p>
        </w:tc>
        <w:tc>
          <w:tcPr>
            <w:tcW w:w="1870" w:type="dxa"/>
            <w:tcBorders>
              <w:left w:val="nil"/>
            </w:tcBorders>
          </w:tcPr>
          <w:p w14:paraId="43E53413" w14:textId="77777777" w:rsidR="00EA4919" w:rsidRDefault="00EA4919" w:rsidP="00BF4D76">
            <w:pPr>
              <w:pStyle w:val="NoSpacing"/>
              <w:jc w:val="center"/>
              <w:rPr>
                <w:rFonts w:asciiTheme="minorHAnsi" w:hAnsiTheme="minorHAnsi"/>
              </w:rPr>
            </w:pPr>
            <w:r>
              <w:rPr>
                <w:rFonts w:asciiTheme="minorHAnsi" w:hAnsiTheme="minorHAnsi"/>
              </w:rPr>
              <w:t>6.14</w:t>
            </w:r>
          </w:p>
        </w:tc>
      </w:tr>
      <w:tr w:rsidR="00EA4919" w14:paraId="2340A4D1" w14:textId="77777777" w:rsidTr="00BF4D76">
        <w:tc>
          <w:tcPr>
            <w:tcW w:w="1870" w:type="dxa"/>
            <w:tcBorders>
              <w:right w:val="nil"/>
            </w:tcBorders>
          </w:tcPr>
          <w:p w14:paraId="16ED8556" w14:textId="77777777" w:rsidR="00EA4919" w:rsidRDefault="00EA4919" w:rsidP="00BF4D76">
            <w:pPr>
              <w:pStyle w:val="NoSpacing"/>
              <w:jc w:val="center"/>
              <w:rPr>
                <w:rFonts w:asciiTheme="minorHAnsi" w:hAnsiTheme="minorHAnsi"/>
              </w:rPr>
            </w:pPr>
            <w:r>
              <w:rPr>
                <w:rFonts w:asciiTheme="minorHAnsi" w:hAnsiTheme="minorHAnsi"/>
              </w:rPr>
              <w:t>2016</w:t>
            </w:r>
          </w:p>
        </w:tc>
        <w:tc>
          <w:tcPr>
            <w:tcW w:w="1870" w:type="dxa"/>
            <w:tcBorders>
              <w:left w:val="nil"/>
              <w:right w:val="nil"/>
            </w:tcBorders>
          </w:tcPr>
          <w:p w14:paraId="3120EF36" w14:textId="77777777" w:rsidR="00EA4919" w:rsidRDefault="00EA4919" w:rsidP="00BF4D76">
            <w:pPr>
              <w:pStyle w:val="NoSpacing"/>
              <w:jc w:val="center"/>
              <w:rPr>
                <w:rFonts w:asciiTheme="minorHAnsi" w:hAnsiTheme="minorHAnsi"/>
              </w:rPr>
            </w:pPr>
            <w:r>
              <w:rPr>
                <w:rFonts w:asciiTheme="minorHAnsi" w:hAnsiTheme="minorHAnsi"/>
              </w:rPr>
              <w:t>Unavailable</w:t>
            </w:r>
          </w:p>
        </w:tc>
        <w:tc>
          <w:tcPr>
            <w:tcW w:w="1870" w:type="dxa"/>
            <w:tcBorders>
              <w:left w:val="nil"/>
              <w:right w:val="nil"/>
            </w:tcBorders>
          </w:tcPr>
          <w:p w14:paraId="5785C295" w14:textId="77777777" w:rsidR="00EA4919" w:rsidRDefault="00EA4919" w:rsidP="00BF4D76">
            <w:pPr>
              <w:pStyle w:val="NoSpacing"/>
              <w:jc w:val="center"/>
              <w:rPr>
                <w:rFonts w:asciiTheme="minorHAnsi" w:hAnsiTheme="minorHAnsi"/>
              </w:rPr>
            </w:pPr>
            <w:r>
              <w:rPr>
                <w:rFonts w:asciiTheme="minorHAnsi" w:hAnsiTheme="minorHAnsi"/>
              </w:rPr>
              <w:t>3.85</w:t>
            </w:r>
          </w:p>
        </w:tc>
        <w:tc>
          <w:tcPr>
            <w:tcW w:w="1870" w:type="dxa"/>
            <w:tcBorders>
              <w:left w:val="nil"/>
              <w:right w:val="nil"/>
            </w:tcBorders>
          </w:tcPr>
          <w:p w14:paraId="4186B169" w14:textId="77777777" w:rsidR="00EA4919" w:rsidRDefault="00EA4919" w:rsidP="00BF4D76">
            <w:pPr>
              <w:pStyle w:val="NoSpacing"/>
              <w:jc w:val="center"/>
              <w:rPr>
                <w:rFonts w:asciiTheme="minorHAnsi" w:hAnsiTheme="minorHAnsi"/>
              </w:rPr>
            </w:pPr>
            <w:r>
              <w:rPr>
                <w:rFonts w:asciiTheme="minorHAnsi" w:hAnsiTheme="minorHAnsi"/>
              </w:rPr>
              <w:t>1.79</w:t>
            </w:r>
          </w:p>
        </w:tc>
        <w:tc>
          <w:tcPr>
            <w:tcW w:w="1870" w:type="dxa"/>
            <w:tcBorders>
              <w:left w:val="nil"/>
            </w:tcBorders>
          </w:tcPr>
          <w:p w14:paraId="6750D678" w14:textId="77777777" w:rsidR="00EA4919" w:rsidRDefault="00EA4919" w:rsidP="00BF4D76">
            <w:pPr>
              <w:pStyle w:val="NoSpacing"/>
              <w:jc w:val="center"/>
              <w:rPr>
                <w:rFonts w:asciiTheme="minorHAnsi" w:hAnsiTheme="minorHAnsi"/>
              </w:rPr>
            </w:pPr>
            <w:r>
              <w:rPr>
                <w:rFonts w:asciiTheme="minorHAnsi" w:hAnsiTheme="minorHAnsi"/>
              </w:rPr>
              <w:t>5.03</w:t>
            </w:r>
          </w:p>
        </w:tc>
      </w:tr>
    </w:tbl>
    <w:p w14:paraId="01FFBCFF" w14:textId="77777777" w:rsidR="005A1476" w:rsidRDefault="005A1476" w:rsidP="005A1476">
      <w:pPr>
        <w:pStyle w:val="NoSpacing"/>
        <w:rPr>
          <w:rFonts w:asciiTheme="minorHAnsi" w:hAnsiTheme="minorHAnsi"/>
        </w:rPr>
      </w:pPr>
    </w:p>
    <w:p w14:paraId="4B0238A9" w14:textId="77777777" w:rsidR="005A1476" w:rsidRDefault="005A1476">
      <w:pPr>
        <w:rPr>
          <w:rFonts w:asciiTheme="minorHAnsi" w:hAnsiTheme="minorHAnsi"/>
        </w:rPr>
      </w:pPr>
      <w:r>
        <w:rPr>
          <w:rFonts w:asciiTheme="minorHAnsi" w:hAnsiTheme="minorHAnsi"/>
        </w:rPr>
        <w:br w:type="page"/>
      </w:r>
    </w:p>
    <w:p w14:paraId="728199ED" w14:textId="5763E438" w:rsidR="005A1476" w:rsidRDefault="0074138F" w:rsidP="0074138F">
      <w:pPr>
        <w:pStyle w:val="NoSpacing"/>
        <w:spacing w:line="480" w:lineRule="auto"/>
        <w:rPr>
          <w:rFonts w:asciiTheme="minorHAnsi" w:hAnsiTheme="minorHAnsi"/>
        </w:rPr>
      </w:pPr>
      <w:r>
        <w:rPr>
          <w:rFonts w:asciiTheme="minorHAnsi" w:hAnsiTheme="minorHAnsi"/>
        </w:rPr>
        <w:lastRenderedPageBreak/>
        <w:t>that the rate of representation for students with disabilities was lower in 2016 than in any of the four previous years.</w:t>
      </w:r>
      <w:r>
        <w:rPr>
          <w:rFonts w:asciiTheme="minorHAnsi" w:hAnsiTheme="minorHAnsi"/>
        </w:rPr>
        <w:t xml:space="preserve"> </w:t>
      </w:r>
      <w:r w:rsidR="00D35B34">
        <w:rPr>
          <w:rFonts w:asciiTheme="minorHAnsi" w:hAnsiTheme="minorHAnsi"/>
        </w:rPr>
        <w:t>Unlike in other cases, this decrease is not due to a sizeable shift in offer</w:t>
      </w:r>
      <w:r w:rsidR="00D35B34">
        <w:rPr>
          <w:rFonts w:asciiTheme="minorHAnsi" w:hAnsiTheme="minorHAnsi"/>
        </w:rPr>
        <w:t xml:space="preserve"> </w:t>
      </w:r>
      <w:r w:rsidR="005A1476">
        <w:rPr>
          <w:rFonts w:asciiTheme="minorHAnsi" w:hAnsiTheme="minorHAnsi"/>
        </w:rPr>
        <w:t>or acceptance rates. Indeed, York was more likely to offer admission to these students in 2016 than in any other year under investigation (</w:t>
      </w:r>
      <w:r w:rsidR="00090ACF">
        <w:rPr>
          <w:rFonts w:asciiTheme="minorHAnsi" w:hAnsiTheme="minorHAnsi"/>
        </w:rPr>
        <w:t>Holden &amp; Kitchen, 2017</w:t>
      </w:r>
      <w:r w:rsidR="005A1476">
        <w:rPr>
          <w:rFonts w:asciiTheme="minorHAnsi" w:hAnsiTheme="minorHAnsi"/>
        </w:rPr>
        <w:t>). The more important shifts occurred at the application stage: the number of self-identifying students applying to York’s consecutive program fell by 18.7%</w:t>
      </w:r>
      <w:r w:rsidR="005A1476">
        <w:rPr>
          <w:rStyle w:val="FootnoteReference"/>
          <w:rFonts w:asciiTheme="minorHAnsi" w:hAnsiTheme="minorHAnsi"/>
        </w:rPr>
        <w:footnoteReference w:id="5"/>
      </w:r>
      <w:r w:rsidR="005A1476">
        <w:rPr>
          <w:rFonts w:asciiTheme="minorHAnsi" w:hAnsiTheme="minorHAnsi"/>
        </w:rPr>
        <w:t>, while the total number of students entering the program grew by 36.83%</w:t>
      </w:r>
      <w:r w:rsidR="005A1476">
        <w:rPr>
          <w:rStyle w:val="FootnoteReference"/>
          <w:rFonts w:asciiTheme="minorHAnsi" w:hAnsiTheme="minorHAnsi"/>
        </w:rPr>
        <w:footnoteReference w:id="6"/>
      </w:r>
      <w:r w:rsidR="005A1476">
        <w:rPr>
          <w:rFonts w:asciiTheme="minorHAnsi" w:hAnsiTheme="minorHAnsi"/>
        </w:rPr>
        <w:t>.</w:t>
      </w:r>
    </w:p>
    <w:p w14:paraId="6AD5BE6D" w14:textId="572C1162" w:rsidR="00607420" w:rsidRDefault="00D5072E" w:rsidP="0074138F">
      <w:pPr>
        <w:pStyle w:val="NoSpacing"/>
        <w:spacing w:line="480" w:lineRule="auto"/>
        <w:ind w:firstLine="720"/>
        <w:rPr>
          <w:rFonts w:asciiTheme="minorHAnsi" w:hAnsiTheme="minorHAnsi"/>
        </w:rPr>
      </w:pPr>
      <w:r>
        <w:rPr>
          <w:rFonts w:asciiTheme="minorHAnsi" w:hAnsiTheme="minorHAnsi"/>
        </w:rPr>
        <w:t xml:space="preserve">Whether the reported proportions are equitable depends on the reader’s </w:t>
      </w:r>
      <w:r w:rsidR="00954294">
        <w:rPr>
          <w:rFonts w:asciiTheme="minorHAnsi" w:hAnsiTheme="minorHAnsi"/>
        </w:rPr>
        <w:t>comparison group, as</w:t>
      </w:r>
      <w:r w:rsidR="003A5B2D">
        <w:rPr>
          <w:rFonts w:asciiTheme="minorHAnsi" w:hAnsiTheme="minorHAnsi"/>
        </w:rPr>
        <w:t xml:space="preserve"> proportions for students with disabilities vary from study to study</w:t>
      </w:r>
      <w:r>
        <w:rPr>
          <w:rFonts w:asciiTheme="minorHAnsi" w:hAnsiTheme="minorHAnsi"/>
        </w:rPr>
        <w:t>. For example, 10.11% of Finnie and colleagues</w:t>
      </w:r>
      <w:r w:rsidR="00712618">
        <w:rPr>
          <w:rFonts w:asciiTheme="minorHAnsi" w:hAnsiTheme="minorHAnsi"/>
        </w:rPr>
        <w:t>’</w:t>
      </w:r>
      <w:r>
        <w:rPr>
          <w:rFonts w:asciiTheme="minorHAnsi" w:hAnsiTheme="minorHAnsi"/>
        </w:rPr>
        <w:t xml:space="preserve"> (2011b) Ontario sample were students with disabilities. By comparison, Holmes (2005) </w:t>
      </w:r>
      <w:r w:rsidR="00106E80">
        <w:rPr>
          <w:rFonts w:asciiTheme="minorHAnsi" w:hAnsiTheme="minorHAnsi"/>
        </w:rPr>
        <w:t>reports</w:t>
      </w:r>
      <w:r>
        <w:rPr>
          <w:rFonts w:asciiTheme="minorHAnsi" w:hAnsiTheme="minorHAnsi"/>
        </w:rPr>
        <w:t xml:space="preserve"> that 4.3% of Canadians aged 20-24 report having a disability, and the most recent data from Statistics Canada (2015) note that 4.4% of Canadians aged 15-24 report having a disability. </w:t>
      </w:r>
      <w:r w:rsidR="007F37C2">
        <w:rPr>
          <w:rFonts w:asciiTheme="minorHAnsi" w:hAnsiTheme="minorHAnsi"/>
        </w:rPr>
        <w:t xml:space="preserve">No university reported a </w:t>
      </w:r>
      <w:r w:rsidR="00946E29">
        <w:rPr>
          <w:rFonts w:asciiTheme="minorHAnsi" w:hAnsiTheme="minorHAnsi"/>
        </w:rPr>
        <w:t xml:space="preserve">participation rate as high as Finnie and colleagues’ sample. York has consistently reported participation rates above those reported by Holmes and Statistics Canada, while Lakehead has reported participation rates above 4.4% in 2012, 2014, and 2015. No other university reported similar participation rates, though Nipissing’s recent increase is noteworthy. </w:t>
      </w:r>
    </w:p>
    <w:p w14:paraId="3DFFF673" w14:textId="50A3BEE8" w:rsidR="00D5072E" w:rsidRDefault="0020723E" w:rsidP="0074138F">
      <w:pPr>
        <w:pStyle w:val="NoSpacing"/>
        <w:spacing w:line="480" w:lineRule="auto"/>
        <w:ind w:firstLine="720"/>
        <w:rPr>
          <w:rFonts w:asciiTheme="minorHAnsi" w:hAnsiTheme="minorHAnsi"/>
        </w:rPr>
      </w:pPr>
      <w:r>
        <w:rPr>
          <w:rFonts w:asciiTheme="minorHAnsi" w:hAnsiTheme="minorHAnsi"/>
        </w:rPr>
        <w:t xml:space="preserve">Because universities also support students with disabilities through centralized accessibility offices, we suspect that some students are identifying through these central services, rather than through the teacher education application process. This makes it difficult </w:t>
      </w:r>
      <w:r>
        <w:rPr>
          <w:rFonts w:asciiTheme="minorHAnsi" w:hAnsiTheme="minorHAnsi"/>
        </w:rPr>
        <w:lastRenderedPageBreak/>
        <w:t xml:space="preserve">to assess whether universities with lower rates of participation, such as Ottawa, instead see students with disabilities access services outside of the admissions process. </w:t>
      </w:r>
      <w:r w:rsidR="00EC61B4">
        <w:rPr>
          <w:rFonts w:asciiTheme="minorHAnsi" w:hAnsiTheme="minorHAnsi"/>
        </w:rPr>
        <w:t>If faculties of education are not able to monitor total participation rates for students with disabilities, however, it may be difficult for them to measure whether their access initiatives are increasing the number of students who are successful in applying to, entering, and completing their programs.</w:t>
      </w:r>
      <w:r w:rsidR="00C532E2">
        <w:rPr>
          <w:rFonts w:asciiTheme="minorHAnsi" w:hAnsiTheme="minorHAnsi"/>
        </w:rPr>
        <w:t xml:space="preserve"> </w:t>
      </w:r>
    </w:p>
    <w:p w14:paraId="1998CAAC" w14:textId="34DFB01C" w:rsidR="00152104" w:rsidRDefault="00B72109" w:rsidP="0074138F">
      <w:pPr>
        <w:pStyle w:val="NoSpacing"/>
        <w:spacing w:line="480" w:lineRule="auto"/>
        <w:rPr>
          <w:rFonts w:asciiTheme="minorHAnsi" w:hAnsiTheme="minorHAnsi"/>
          <w:b/>
        </w:rPr>
      </w:pPr>
      <w:r>
        <w:rPr>
          <w:rFonts w:asciiTheme="minorHAnsi" w:hAnsiTheme="minorHAnsi"/>
          <w:b/>
        </w:rPr>
        <w:t>Visible Minorities and Racialized Persons</w:t>
      </w:r>
    </w:p>
    <w:p w14:paraId="15A3EAE0" w14:textId="33214333" w:rsidR="008566F6" w:rsidRDefault="00F54897" w:rsidP="0074138F">
      <w:pPr>
        <w:pStyle w:val="NoSpacing"/>
        <w:spacing w:line="480" w:lineRule="auto"/>
        <w:rPr>
          <w:rFonts w:asciiTheme="minorHAnsi" w:hAnsiTheme="minorHAnsi"/>
        </w:rPr>
      </w:pPr>
      <w:r>
        <w:rPr>
          <w:rFonts w:asciiTheme="minorHAnsi" w:hAnsiTheme="minorHAnsi"/>
        </w:rPr>
        <w:tab/>
      </w:r>
      <w:r w:rsidR="00286FDA">
        <w:rPr>
          <w:rFonts w:asciiTheme="minorHAnsi" w:hAnsiTheme="minorHAnsi"/>
        </w:rPr>
        <w:t>Three</w:t>
      </w:r>
      <w:r w:rsidR="00C32331">
        <w:rPr>
          <w:rFonts w:asciiTheme="minorHAnsi" w:hAnsiTheme="minorHAnsi"/>
        </w:rPr>
        <w:t xml:space="preserve"> of Ontario’s teacher education programs track application rates for visible minorities or racialized persons. </w:t>
      </w:r>
      <w:r w:rsidR="00286FDA">
        <w:rPr>
          <w:rFonts w:asciiTheme="minorHAnsi" w:hAnsiTheme="minorHAnsi"/>
        </w:rPr>
        <w:t>While visible minorities and racialized persons are not interchangeable populations, we have chosen to include these figures in the same table for comparison, in part because York is the only teacher education program that actively tracks racialized persons in their admissions process. York’s data is presented alongside data from Nipissing and Ottawa in Table 4.</w:t>
      </w:r>
    </w:p>
    <w:p w14:paraId="433EEAA6" w14:textId="65BBB26C" w:rsidR="0074138F" w:rsidRDefault="0074138F" w:rsidP="0074138F">
      <w:pPr>
        <w:pStyle w:val="NoSpacing"/>
        <w:spacing w:line="480" w:lineRule="auto"/>
        <w:rPr>
          <w:rFonts w:asciiTheme="minorHAnsi" w:hAnsiTheme="minorHAnsi"/>
        </w:rPr>
      </w:pPr>
      <w:r>
        <w:rPr>
          <w:rFonts w:asciiTheme="minorHAnsi" w:hAnsiTheme="minorHAnsi"/>
        </w:rPr>
        <w:tab/>
      </w:r>
      <w:r>
        <w:rPr>
          <w:rFonts w:asciiTheme="minorHAnsi" w:hAnsiTheme="minorHAnsi"/>
        </w:rPr>
        <w:t xml:space="preserve">The most obvious difference in these data is the significant gap between Nipissing’s rates of representation and those of Ottawa and York. This is not entirely surprising, as Ottawa and Toronto are both identified by Statistics Canada (2016) as significant centres for diversity. Despite this geographic factor, we are still troubled by the small number of self-identifying visible minority students applying to Nipissing’s program since the change to a four-semester program. Only one student self-identified with this group when applying in 2016, and this student did not ultimately enter the program. We are further concerned that many universities do not track visible minorities or racialized students at all. While it may be argued that York or Ottawa’s proportions support the contention that visible minorities are not actually </w:t>
      </w:r>
    </w:p>
    <w:p w14:paraId="2A4D0FC2" w14:textId="77777777" w:rsidR="00286FDA" w:rsidRDefault="00286FDA" w:rsidP="00F54897">
      <w:pPr>
        <w:pStyle w:val="NoSpacing"/>
        <w:rPr>
          <w:rFonts w:asciiTheme="minorHAnsi" w:hAnsiTheme="minorHAnsi"/>
        </w:rPr>
      </w:pPr>
      <w:r>
        <w:rPr>
          <w:rFonts w:asciiTheme="minorHAnsi" w:hAnsiTheme="minorHAnsi"/>
        </w:rPr>
        <w:lastRenderedPageBreak/>
        <w:t>Table 4</w:t>
      </w:r>
    </w:p>
    <w:p w14:paraId="69624709" w14:textId="77777777" w:rsidR="00286FDA" w:rsidRDefault="00286FDA" w:rsidP="00F54897">
      <w:pPr>
        <w:pStyle w:val="NoSpacing"/>
        <w:rPr>
          <w:rFonts w:asciiTheme="minorHAnsi" w:hAnsiTheme="minorHAnsi"/>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337"/>
        <w:gridCol w:w="2337"/>
        <w:gridCol w:w="2338"/>
        <w:gridCol w:w="2338"/>
      </w:tblGrid>
      <w:tr w:rsidR="00286FDA" w14:paraId="6EBDDE8F" w14:textId="77777777" w:rsidTr="00BF4D76">
        <w:tc>
          <w:tcPr>
            <w:tcW w:w="9350" w:type="dxa"/>
            <w:gridSpan w:val="4"/>
            <w:tcBorders>
              <w:top w:val="nil"/>
              <w:bottom w:val="single" w:sz="4" w:space="0" w:color="auto"/>
            </w:tcBorders>
          </w:tcPr>
          <w:p w14:paraId="7A4C21FF" w14:textId="77777777" w:rsidR="00286FDA" w:rsidRPr="004A071E" w:rsidRDefault="00286FDA" w:rsidP="00BF4D76">
            <w:pPr>
              <w:pStyle w:val="NoSpacing"/>
              <w:rPr>
                <w:rFonts w:asciiTheme="minorHAnsi" w:hAnsiTheme="minorHAnsi"/>
              </w:rPr>
            </w:pPr>
            <w:r>
              <w:rPr>
                <w:rFonts w:asciiTheme="minorHAnsi" w:hAnsiTheme="minorHAnsi"/>
                <w:i/>
              </w:rPr>
              <w:t xml:space="preserve">Changes in the Proportion of Visible Minority/Racialized Students by </w:t>
            </w:r>
            <w:proofErr w:type="spellStart"/>
            <w:r>
              <w:rPr>
                <w:rFonts w:asciiTheme="minorHAnsi" w:hAnsiTheme="minorHAnsi"/>
                <w:i/>
              </w:rPr>
              <w:t>Institution</w:t>
            </w:r>
            <w:r w:rsidRPr="004A071E">
              <w:rPr>
                <w:rFonts w:asciiTheme="minorHAnsi" w:hAnsiTheme="minorHAnsi"/>
                <w:vertAlign w:val="superscript"/>
              </w:rPr>
              <w:t>a</w:t>
            </w:r>
            <w:proofErr w:type="spellEnd"/>
          </w:p>
          <w:p w14:paraId="55C12BE5" w14:textId="77777777" w:rsidR="00286FDA" w:rsidRDefault="00286FDA" w:rsidP="00BF4D76">
            <w:pPr>
              <w:pStyle w:val="NoSpacing"/>
              <w:rPr>
                <w:rFonts w:asciiTheme="minorHAnsi" w:hAnsiTheme="minorHAnsi"/>
              </w:rPr>
            </w:pPr>
          </w:p>
        </w:tc>
      </w:tr>
      <w:tr w:rsidR="00286FDA" w14:paraId="52556B32" w14:textId="77777777" w:rsidTr="00BF4D76">
        <w:tc>
          <w:tcPr>
            <w:tcW w:w="9350" w:type="dxa"/>
            <w:gridSpan w:val="4"/>
          </w:tcPr>
          <w:p w14:paraId="05100326" w14:textId="77777777" w:rsidR="00286FDA" w:rsidRDefault="00286FDA" w:rsidP="00BF4D76">
            <w:pPr>
              <w:pStyle w:val="NoSpacing"/>
              <w:jc w:val="center"/>
              <w:rPr>
                <w:rFonts w:asciiTheme="minorHAnsi" w:hAnsiTheme="minorHAnsi"/>
              </w:rPr>
            </w:pPr>
            <w:r>
              <w:rPr>
                <w:rFonts w:asciiTheme="minorHAnsi" w:hAnsiTheme="minorHAnsi"/>
              </w:rPr>
              <w:t>Of all Applicants (%)</w:t>
            </w:r>
          </w:p>
        </w:tc>
      </w:tr>
      <w:tr w:rsidR="00286FDA" w14:paraId="23A163FF" w14:textId="77777777" w:rsidTr="00BF4D76">
        <w:tc>
          <w:tcPr>
            <w:tcW w:w="2337" w:type="dxa"/>
            <w:tcBorders>
              <w:bottom w:val="nil"/>
              <w:right w:val="nil"/>
            </w:tcBorders>
            <w:vAlign w:val="bottom"/>
          </w:tcPr>
          <w:p w14:paraId="31FE4551" w14:textId="77777777" w:rsidR="00286FDA" w:rsidRPr="00DC3E7B" w:rsidRDefault="00286FDA" w:rsidP="00BF4D76">
            <w:pPr>
              <w:pStyle w:val="NoSpacing"/>
              <w:jc w:val="center"/>
              <w:rPr>
                <w:rFonts w:asciiTheme="minorHAnsi" w:hAnsiTheme="minorHAnsi"/>
                <w:u w:val="single"/>
              </w:rPr>
            </w:pPr>
            <w:r w:rsidRPr="00DC3E7B">
              <w:rPr>
                <w:rFonts w:asciiTheme="minorHAnsi" w:hAnsiTheme="minorHAnsi"/>
                <w:u w:val="single"/>
              </w:rPr>
              <w:t>Year</w:t>
            </w:r>
          </w:p>
        </w:tc>
        <w:tc>
          <w:tcPr>
            <w:tcW w:w="2337" w:type="dxa"/>
            <w:tcBorders>
              <w:left w:val="nil"/>
              <w:bottom w:val="nil"/>
              <w:right w:val="nil"/>
            </w:tcBorders>
          </w:tcPr>
          <w:p w14:paraId="02B5FA57" w14:textId="77777777" w:rsidR="00286FDA" w:rsidRPr="00A94B1C" w:rsidRDefault="00286FDA" w:rsidP="00BF4D76">
            <w:pPr>
              <w:pStyle w:val="NoSpacing"/>
              <w:jc w:val="center"/>
              <w:rPr>
                <w:rFonts w:asciiTheme="minorHAnsi" w:hAnsiTheme="minorHAnsi"/>
                <w:u w:val="single"/>
              </w:rPr>
            </w:pPr>
            <w:r w:rsidRPr="00A94B1C">
              <w:rPr>
                <w:rFonts w:asciiTheme="minorHAnsi" w:hAnsiTheme="minorHAnsi"/>
                <w:u w:val="single"/>
              </w:rPr>
              <w:t>Nipissing</w:t>
            </w:r>
          </w:p>
        </w:tc>
        <w:tc>
          <w:tcPr>
            <w:tcW w:w="2338" w:type="dxa"/>
            <w:tcBorders>
              <w:left w:val="nil"/>
              <w:bottom w:val="nil"/>
              <w:right w:val="nil"/>
            </w:tcBorders>
          </w:tcPr>
          <w:p w14:paraId="1A517AC7" w14:textId="77777777" w:rsidR="00286FDA" w:rsidRPr="00A94B1C" w:rsidRDefault="00286FDA" w:rsidP="00BF4D76">
            <w:pPr>
              <w:pStyle w:val="NoSpacing"/>
              <w:jc w:val="center"/>
              <w:rPr>
                <w:rFonts w:asciiTheme="minorHAnsi" w:hAnsiTheme="minorHAnsi"/>
                <w:u w:val="single"/>
              </w:rPr>
            </w:pPr>
            <w:r w:rsidRPr="00A94B1C">
              <w:rPr>
                <w:rFonts w:asciiTheme="minorHAnsi" w:hAnsiTheme="minorHAnsi"/>
                <w:u w:val="single"/>
              </w:rPr>
              <w:t>U. Ottawa</w:t>
            </w:r>
          </w:p>
        </w:tc>
        <w:tc>
          <w:tcPr>
            <w:tcW w:w="2338" w:type="dxa"/>
            <w:tcBorders>
              <w:left w:val="nil"/>
              <w:bottom w:val="nil"/>
            </w:tcBorders>
          </w:tcPr>
          <w:p w14:paraId="42DFED5A" w14:textId="77777777" w:rsidR="00286FDA" w:rsidRPr="00A94B1C" w:rsidRDefault="00286FDA" w:rsidP="00BF4D76">
            <w:pPr>
              <w:pStyle w:val="NoSpacing"/>
              <w:jc w:val="center"/>
              <w:rPr>
                <w:rFonts w:asciiTheme="minorHAnsi" w:hAnsiTheme="minorHAnsi"/>
                <w:u w:val="single"/>
              </w:rPr>
            </w:pPr>
            <w:r w:rsidRPr="00A94B1C">
              <w:rPr>
                <w:rFonts w:asciiTheme="minorHAnsi" w:hAnsiTheme="minorHAnsi"/>
                <w:u w:val="single"/>
              </w:rPr>
              <w:t>York</w:t>
            </w:r>
          </w:p>
        </w:tc>
      </w:tr>
      <w:tr w:rsidR="00286FDA" w14:paraId="740BCF64" w14:textId="77777777" w:rsidTr="00BF4D76">
        <w:tc>
          <w:tcPr>
            <w:tcW w:w="2337" w:type="dxa"/>
            <w:tcBorders>
              <w:top w:val="nil"/>
              <w:bottom w:val="nil"/>
              <w:right w:val="nil"/>
            </w:tcBorders>
          </w:tcPr>
          <w:p w14:paraId="0186005D" w14:textId="77777777" w:rsidR="00286FDA" w:rsidRDefault="00286FDA" w:rsidP="00BF4D76">
            <w:pPr>
              <w:pStyle w:val="NoSpacing"/>
              <w:jc w:val="center"/>
              <w:rPr>
                <w:rFonts w:asciiTheme="minorHAnsi" w:hAnsiTheme="minorHAnsi"/>
              </w:rPr>
            </w:pPr>
            <w:r>
              <w:rPr>
                <w:rFonts w:asciiTheme="minorHAnsi" w:hAnsiTheme="minorHAnsi"/>
              </w:rPr>
              <w:t>2012</w:t>
            </w:r>
          </w:p>
        </w:tc>
        <w:tc>
          <w:tcPr>
            <w:tcW w:w="2337" w:type="dxa"/>
            <w:tcBorders>
              <w:top w:val="nil"/>
              <w:left w:val="nil"/>
              <w:bottom w:val="nil"/>
              <w:right w:val="nil"/>
            </w:tcBorders>
          </w:tcPr>
          <w:p w14:paraId="0CC89148" w14:textId="77777777" w:rsidR="00286FDA" w:rsidRDefault="00286FDA" w:rsidP="00BF4D76">
            <w:pPr>
              <w:pStyle w:val="NoSpacing"/>
              <w:jc w:val="center"/>
              <w:rPr>
                <w:rFonts w:asciiTheme="minorHAnsi" w:hAnsiTheme="minorHAnsi"/>
              </w:rPr>
            </w:pPr>
            <w:r>
              <w:rPr>
                <w:rFonts w:asciiTheme="minorHAnsi" w:hAnsiTheme="minorHAnsi"/>
              </w:rPr>
              <w:t>1.61</w:t>
            </w:r>
          </w:p>
        </w:tc>
        <w:tc>
          <w:tcPr>
            <w:tcW w:w="2338" w:type="dxa"/>
            <w:tcBorders>
              <w:top w:val="nil"/>
              <w:left w:val="nil"/>
              <w:bottom w:val="nil"/>
              <w:right w:val="nil"/>
            </w:tcBorders>
          </w:tcPr>
          <w:p w14:paraId="057A320E" w14:textId="77777777" w:rsidR="00286FDA" w:rsidRDefault="00286FDA" w:rsidP="00BF4D76">
            <w:pPr>
              <w:pStyle w:val="NoSpacing"/>
              <w:jc w:val="center"/>
              <w:rPr>
                <w:rFonts w:asciiTheme="minorHAnsi" w:hAnsiTheme="minorHAnsi"/>
              </w:rPr>
            </w:pPr>
            <w:r>
              <w:rPr>
                <w:rFonts w:asciiTheme="minorHAnsi" w:hAnsiTheme="minorHAnsi"/>
              </w:rPr>
              <w:t>17.59</w:t>
            </w:r>
          </w:p>
        </w:tc>
        <w:tc>
          <w:tcPr>
            <w:tcW w:w="2338" w:type="dxa"/>
            <w:tcBorders>
              <w:top w:val="nil"/>
              <w:left w:val="nil"/>
              <w:bottom w:val="nil"/>
            </w:tcBorders>
          </w:tcPr>
          <w:p w14:paraId="3BDEF939" w14:textId="77777777" w:rsidR="00286FDA" w:rsidRDefault="00286FDA" w:rsidP="00BF4D76">
            <w:pPr>
              <w:pStyle w:val="NoSpacing"/>
              <w:jc w:val="center"/>
              <w:rPr>
                <w:rFonts w:asciiTheme="minorHAnsi" w:hAnsiTheme="minorHAnsi"/>
              </w:rPr>
            </w:pPr>
            <w:r>
              <w:rPr>
                <w:rFonts w:asciiTheme="minorHAnsi" w:hAnsiTheme="minorHAnsi"/>
              </w:rPr>
              <w:t>25.51</w:t>
            </w:r>
          </w:p>
        </w:tc>
      </w:tr>
      <w:tr w:rsidR="00286FDA" w14:paraId="13CE561C" w14:textId="77777777" w:rsidTr="00BF4D76">
        <w:tc>
          <w:tcPr>
            <w:tcW w:w="2337" w:type="dxa"/>
            <w:tcBorders>
              <w:top w:val="nil"/>
              <w:bottom w:val="nil"/>
              <w:right w:val="nil"/>
            </w:tcBorders>
          </w:tcPr>
          <w:p w14:paraId="04202305" w14:textId="77777777" w:rsidR="00286FDA" w:rsidRDefault="00286FDA" w:rsidP="00BF4D76">
            <w:pPr>
              <w:pStyle w:val="NoSpacing"/>
              <w:jc w:val="center"/>
              <w:rPr>
                <w:rFonts w:asciiTheme="minorHAnsi" w:hAnsiTheme="minorHAnsi"/>
              </w:rPr>
            </w:pPr>
            <w:r>
              <w:rPr>
                <w:rFonts w:asciiTheme="minorHAnsi" w:hAnsiTheme="minorHAnsi"/>
              </w:rPr>
              <w:t>2013</w:t>
            </w:r>
          </w:p>
        </w:tc>
        <w:tc>
          <w:tcPr>
            <w:tcW w:w="2337" w:type="dxa"/>
            <w:tcBorders>
              <w:top w:val="nil"/>
              <w:left w:val="nil"/>
              <w:bottom w:val="nil"/>
              <w:right w:val="nil"/>
            </w:tcBorders>
          </w:tcPr>
          <w:p w14:paraId="5FEC3BAD" w14:textId="77777777" w:rsidR="00286FDA" w:rsidRDefault="00286FDA" w:rsidP="00BF4D76">
            <w:pPr>
              <w:pStyle w:val="NoSpacing"/>
              <w:jc w:val="center"/>
              <w:rPr>
                <w:rFonts w:asciiTheme="minorHAnsi" w:hAnsiTheme="minorHAnsi"/>
              </w:rPr>
            </w:pPr>
            <w:r>
              <w:rPr>
                <w:rFonts w:asciiTheme="minorHAnsi" w:hAnsiTheme="minorHAnsi"/>
              </w:rPr>
              <w:t>0.75</w:t>
            </w:r>
          </w:p>
        </w:tc>
        <w:tc>
          <w:tcPr>
            <w:tcW w:w="2338" w:type="dxa"/>
            <w:tcBorders>
              <w:top w:val="nil"/>
              <w:left w:val="nil"/>
              <w:bottom w:val="nil"/>
              <w:right w:val="nil"/>
            </w:tcBorders>
          </w:tcPr>
          <w:p w14:paraId="04BA32EB" w14:textId="77777777" w:rsidR="00286FDA" w:rsidRDefault="00286FDA" w:rsidP="00BF4D76">
            <w:pPr>
              <w:pStyle w:val="NoSpacing"/>
              <w:jc w:val="center"/>
              <w:rPr>
                <w:rFonts w:asciiTheme="minorHAnsi" w:hAnsiTheme="minorHAnsi"/>
              </w:rPr>
            </w:pPr>
            <w:r>
              <w:rPr>
                <w:rFonts w:asciiTheme="minorHAnsi" w:hAnsiTheme="minorHAnsi"/>
              </w:rPr>
              <w:t>21.81</w:t>
            </w:r>
          </w:p>
        </w:tc>
        <w:tc>
          <w:tcPr>
            <w:tcW w:w="2338" w:type="dxa"/>
            <w:tcBorders>
              <w:top w:val="nil"/>
              <w:left w:val="nil"/>
              <w:bottom w:val="nil"/>
            </w:tcBorders>
          </w:tcPr>
          <w:p w14:paraId="76401764" w14:textId="77777777" w:rsidR="00286FDA" w:rsidRDefault="00286FDA" w:rsidP="00BF4D76">
            <w:pPr>
              <w:pStyle w:val="NoSpacing"/>
              <w:jc w:val="center"/>
              <w:rPr>
                <w:rFonts w:asciiTheme="minorHAnsi" w:hAnsiTheme="minorHAnsi"/>
              </w:rPr>
            </w:pPr>
            <w:r>
              <w:rPr>
                <w:rFonts w:asciiTheme="minorHAnsi" w:hAnsiTheme="minorHAnsi"/>
              </w:rPr>
              <w:t>23.37</w:t>
            </w:r>
          </w:p>
        </w:tc>
      </w:tr>
      <w:tr w:rsidR="00286FDA" w14:paraId="3F10C5F9" w14:textId="77777777" w:rsidTr="00BF4D76">
        <w:tc>
          <w:tcPr>
            <w:tcW w:w="2337" w:type="dxa"/>
            <w:tcBorders>
              <w:top w:val="nil"/>
              <w:bottom w:val="nil"/>
              <w:right w:val="nil"/>
            </w:tcBorders>
          </w:tcPr>
          <w:p w14:paraId="6DCA3088" w14:textId="77777777" w:rsidR="00286FDA" w:rsidRDefault="00286FDA" w:rsidP="00BF4D76">
            <w:pPr>
              <w:pStyle w:val="NoSpacing"/>
              <w:jc w:val="center"/>
              <w:rPr>
                <w:rFonts w:asciiTheme="minorHAnsi" w:hAnsiTheme="minorHAnsi"/>
              </w:rPr>
            </w:pPr>
            <w:r>
              <w:rPr>
                <w:rFonts w:asciiTheme="minorHAnsi" w:hAnsiTheme="minorHAnsi"/>
              </w:rPr>
              <w:t>2014</w:t>
            </w:r>
          </w:p>
        </w:tc>
        <w:tc>
          <w:tcPr>
            <w:tcW w:w="2337" w:type="dxa"/>
            <w:tcBorders>
              <w:top w:val="nil"/>
              <w:left w:val="nil"/>
              <w:bottom w:val="nil"/>
              <w:right w:val="nil"/>
            </w:tcBorders>
          </w:tcPr>
          <w:p w14:paraId="00B4D2BD" w14:textId="77777777" w:rsidR="00286FDA" w:rsidRDefault="00286FDA" w:rsidP="00BF4D76">
            <w:pPr>
              <w:pStyle w:val="NoSpacing"/>
              <w:jc w:val="center"/>
              <w:rPr>
                <w:rFonts w:asciiTheme="minorHAnsi" w:hAnsiTheme="minorHAnsi"/>
              </w:rPr>
            </w:pPr>
            <w:r>
              <w:rPr>
                <w:rFonts w:asciiTheme="minorHAnsi" w:hAnsiTheme="minorHAnsi"/>
              </w:rPr>
              <w:t>1.33</w:t>
            </w:r>
          </w:p>
        </w:tc>
        <w:tc>
          <w:tcPr>
            <w:tcW w:w="2338" w:type="dxa"/>
            <w:tcBorders>
              <w:top w:val="nil"/>
              <w:left w:val="nil"/>
              <w:bottom w:val="nil"/>
              <w:right w:val="nil"/>
            </w:tcBorders>
          </w:tcPr>
          <w:p w14:paraId="34053D8E" w14:textId="77777777" w:rsidR="00286FDA" w:rsidRDefault="00286FDA" w:rsidP="00BF4D76">
            <w:pPr>
              <w:pStyle w:val="NoSpacing"/>
              <w:jc w:val="center"/>
              <w:rPr>
                <w:rFonts w:asciiTheme="minorHAnsi" w:hAnsiTheme="minorHAnsi"/>
              </w:rPr>
            </w:pPr>
            <w:r>
              <w:rPr>
                <w:rFonts w:asciiTheme="minorHAnsi" w:hAnsiTheme="minorHAnsi"/>
              </w:rPr>
              <w:t>22.65</w:t>
            </w:r>
          </w:p>
        </w:tc>
        <w:tc>
          <w:tcPr>
            <w:tcW w:w="2338" w:type="dxa"/>
            <w:tcBorders>
              <w:top w:val="nil"/>
              <w:left w:val="nil"/>
              <w:bottom w:val="nil"/>
            </w:tcBorders>
          </w:tcPr>
          <w:p w14:paraId="48174076" w14:textId="77777777" w:rsidR="00286FDA" w:rsidRDefault="00286FDA" w:rsidP="00BF4D76">
            <w:pPr>
              <w:pStyle w:val="NoSpacing"/>
              <w:jc w:val="center"/>
              <w:rPr>
                <w:rFonts w:asciiTheme="minorHAnsi" w:hAnsiTheme="minorHAnsi"/>
              </w:rPr>
            </w:pPr>
            <w:r>
              <w:rPr>
                <w:rFonts w:asciiTheme="minorHAnsi" w:hAnsiTheme="minorHAnsi"/>
              </w:rPr>
              <w:t>21.22</w:t>
            </w:r>
          </w:p>
        </w:tc>
      </w:tr>
      <w:tr w:rsidR="00286FDA" w14:paraId="25C45E63" w14:textId="77777777" w:rsidTr="00BF4D76">
        <w:tc>
          <w:tcPr>
            <w:tcW w:w="2337" w:type="dxa"/>
            <w:tcBorders>
              <w:top w:val="nil"/>
              <w:bottom w:val="nil"/>
              <w:right w:val="nil"/>
            </w:tcBorders>
          </w:tcPr>
          <w:p w14:paraId="0187AE30" w14:textId="77777777" w:rsidR="00286FDA" w:rsidRDefault="00286FDA" w:rsidP="00BF4D76">
            <w:pPr>
              <w:pStyle w:val="NoSpacing"/>
              <w:jc w:val="center"/>
              <w:rPr>
                <w:rFonts w:asciiTheme="minorHAnsi" w:hAnsiTheme="minorHAnsi"/>
              </w:rPr>
            </w:pPr>
            <w:r>
              <w:rPr>
                <w:rFonts w:asciiTheme="minorHAnsi" w:hAnsiTheme="minorHAnsi"/>
              </w:rPr>
              <w:t>2015</w:t>
            </w:r>
          </w:p>
        </w:tc>
        <w:tc>
          <w:tcPr>
            <w:tcW w:w="2337" w:type="dxa"/>
            <w:tcBorders>
              <w:top w:val="nil"/>
              <w:left w:val="nil"/>
              <w:bottom w:val="nil"/>
              <w:right w:val="nil"/>
            </w:tcBorders>
          </w:tcPr>
          <w:p w14:paraId="4D321AEA" w14:textId="77777777" w:rsidR="00286FDA" w:rsidRDefault="00286FDA" w:rsidP="00BF4D76">
            <w:pPr>
              <w:pStyle w:val="NoSpacing"/>
              <w:jc w:val="center"/>
              <w:rPr>
                <w:rFonts w:asciiTheme="minorHAnsi" w:hAnsiTheme="minorHAnsi"/>
              </w:rPr>
            </w:pPr>
            <w:r>
              <w:rPr>
                <w:rFonts w:asciiTheme="minorHAnsi" w:hAnsiTheme="minorHAnsi"/>
              </w:rPr>
              <w:t>0.90</w:t>
            </w:r>
          </w:p>
        </w:tc>
        <w:tc>
          <w:tcPr>
            <w:tcW w:w="2338" w:type="dxa"/>
            <w:tcBorders>
              <w:top w:val="nil"/>
              <w:left w:val="nil"/>
              <w:bottom w:val="nil"/>
              <w:right w:val="nil"/>
            </w:tcBorders>
          </w:tcPr>
          <w:p w14:paraId="163F54AF" w14:textId="77777777" w:rsidR="00286FDA" w:rsidRDefault="00286FDA" w:rsidP="00BF4D76">
            <w:pPr>
              <w:pStyle w:val="NoSpacing"/>
              <w:jc w:val="center"/>
              <w:rPr>
                <w:rFonts w:asciiTheme="minorHAnsi" w:hAnsiTheme="minorHAnsi"/>
              </w:rPr>
            </w:pPr>
            <w:r>
              <w:rPr>
                <w:rFonts w:asciiTheme="minorHAnsi" w:hAnsiTheme="minorHAnsi"/>
              </w:rPr>
              <w:t>26.46</w:t>
            </w:r>
          </w:p>
        </w:tc>
        <w:tc>
          <w:tcPr>
            <w:tcW w:w="2338" w:type="dxa"/>
            <w:tcBorders>
              <w:top w:val="nil"/>
              <w:left w:val="nil"/>
              <w:bottom w:val="nil"/>
            </w:tcBorders>
          </w:tcPr>
          <w:p w14:paraId="16A07C11" w14:textId="77777777" w:rsidR="00286FDA" w:rsidRDefault="00286FDA" w:rsidP="00BF4D76">
            <w:pPr>
              <w:pStyle w:val="NoSpacing"/>
              <w:jc w:val="center"/>
              <w:rPr>
                <w:rFonts w:asciiTheme="minorHAnsi" w:hAnsiTheme="minorHAnsi"/>
              </w:rPr>
            </w:pPr>
            <w:r>
              <w:rPr>
                <w:rFonts w:asciiTheme="minorHAnsi" w:hAnsiTheme="minorHAnsi"/>
              </w:rPr>
              <w:t>20.49</w:t>
            </w:r>
          </w:p>
        </w:tc>
      </w:tr>
      <w:tr w:rsidR="00286FDA" w14:paraId="704A631C" w14:textId="77777777" w:rsidTr="00BF4D76">
        <w:tc>
          <w:tcPr>
            <w:tcW w:w="2337" w:type="dxa"/>
            <w:tcBorders>
              <w:top w:val="nil"/>
              <w:right w:val="nil"/>
            </w:tcBorders>
            <w:vAlign w:val="bottom"/>
          </w:tcPr>
          <w:p w14:paraId="7965B701" w14:textId="77777777" w:rsidR="00286FDA" w:rsidRPr="00552BB4" w:rsidRDefault="00286FDA" w:rsidP="00BF4D76">
            <w:pPr>
              <w:pStyle w:val="NoSpacing"/>
              <w:jc w:val="center"/>
              <w:rPr>
                <w:rFonts w:asciiTheme="minorHAnsi" w:hAnsiTheme="minorHAnsi"/>
              </w:rPr>
            </w:pPr>
            <w:r w:rsidRPr="00552BB4">
              <w:rPr>
                <w:rFonts w:asciiTheme="minorHAnsi" w:hAnsiTheme="minorHAnsi"/>
              </w:rPr>
              <w:t>2016</w:t>
            </w:r>
          </w:p>
        </w:tc>
        <w:tc>
          <w:tcPr>
            <w:tcW w:w="2337" w:type="dxa"/>
            <w:tcBorders>
              <w:top w:val="nil"/>
              <w:left w:val="nil"/>
              <w:right w:val="nil"/>
            </w:tcBorders>
          </w:tcPr>
          <w:p w14:paraId="4E2AA6A9" w14:textId="77777777" w:rsidR="00286FDA" w:rsidRPr="00F2777E" w:rsidRDefault="00286FDA" w:rsidP="00BF4D76">
            <w:pPr>
              <w:pStyle w:val="NoSpacing"/>
              <w:jc w:val="center"/>
              <w:rPr>
                <w:rFonts w:asciiTheme="minorHAnsi" w:hAnsiTheme="minorHAnsi"/>
              </w:rPr>
            </w:pPr>
            <w:r>
              <w:rPr>
                <w:rFonts w:asciiTheme="minorHAnsi" w:hAnsiTheme="minorHAnsi"/>
              </w:rPr>
              <w:t>0.15</w:t>
            </w:r>
          </w:p>
        </w:tc>
        <w:tc>
          <w:tcPr>
            <w:tcW w:w="2338" w:type="dxa"/>
            <w:tcBorders>
              <w:top w:val="nil"/>
              <w:left w:val="nil"/>
              <w:right w:val="nil"/>
            </w:tcBorders>
          </w:tcPr>
          <w:p w14:paraId="554880A1" w14:textId="77777777" w:rsidR="00286FDA" w:rsidRPr="00F2777E" w:rsidRDefault="00286FDA" w:rsidP="00BF4D76">
            <w:pPr>
              <w:pStyle w:val="NoSpacing"/>
              <w:jc w:val="center"/>
              <w:rPr>
                <w:rFonts w:asciiTheme="minorHAnsi" w:hAnsiTheme="minorHAnsi"/>
              </w:rPr>
            </w:pPr>
            <w:r>
              <w:rPr>
                <w:rFonts w:asciiTheme="minorHAnsi" w:hAnsiTheme="minorHAnsi"/>
              </w:rPr>
              <w:t>23.21</w:t>
            </w:r>
          </w:p>
        </w:tc>
        <w:tc>
          <w:tcPr>
            <w:tcW w:w="2338" w:type="dxa"/>
            <w:tcBorders>
              <w:top w:val="nil"/>
              <w:left w:val="nil"/>
            </w:tcBorders>
          </w:tcPr>
          <w:p w14:paraId="597B7528" w14:textId="77777777" w:rsidR="00286FDA" w:rsidRPr="00F2777E" w:rsidRDefault="00286FDA" w:rsidP="00BF4D76">
            <w:pPr>
              <w:pStyle w:val="NoSpacing"/>
              <w:jc w:val="center"/>
              <w:rPr>
                <w:rFonts w:asciiTheme="minorHAnsi" w:hAnsiTheme="minorHAnsi"/>
              </w:rPr>
            </w:pPr>
            <w:r w:rsidRPr="00F2777E">
              <w:rPr>
                <w:rFonts w:asciiTheme="minorHAnsi" w:hAnsiTheme="minorHAnsi"/>
              </w:rPr>
              <w:t>20.</w:t>
            </w:r>
            <w:r>
              <w:rPr>
                <w:rFonts w:asciiTheme="minorHAnsi" w:hAnsiTheme="minorHAnsi"/>
              </w:rPr>
              <w:t>2</w:t>
            </w:r>
            <w:r w:rsidRPr="00F2777E">
              <w:rPr>
                <w:rFonts w:asciiTheme="minorHAnsi" w:hAnsiTheme="minorHAnsi"/>
              </w:rPr>
              <w:t>8</w:t>
            </w:r>
          </w:p>
        </w:tc>
      </w:tr>
      <w:tr w:rsidR="00286FDA" w14:paraId="6CD2A13F" w14:textId="77777777" w:rsidTr="00BF4D76">
        <w:tc>
          <w:tcPr>
            <w:tcW w:w="9350" w:type="dxa"/>
            <w:gridSpan w:val="4"/>
          </w:tcPr>
          <w:p w14:paraId="70C9125E" w14:textId="77777777" w:rsidR="00286FDA" w:rsidRDefault="00286FDA" w:rsidP="00BF4D76">
            <w:pPr>
              <w:pStyle w:val="NoSpacing"/>
              <w:jc w:val="center"/>
              <w:rPr>
                <w:rFonts w:asciiTheme="minorHAnsi" w:hAnsiTheme="minorHAnsi"/>
              </w:rPr>
            </w:pPr>
            <w:r>
              <w:rPr>
                <w:rFonts w:asciiTheme="minorHAnsi" w:hAnsiTheme="minorHAnsi"/>
              </w:rPr>
              <w:t>Of all Acceptances (%)</w:t>
            </w:r>
          </w:p>
        </w:tc>
      </w:tr>
      <w:tr w:rsidR="00286FDA" w14:paraId="1000CADA" w14:textId="77777777" w:rsidTr="00BF4D76">
        <w:tc>
          <w:tcPr>
            <w:tcW w:w="2337" w:type="dxa"/>
            <w:tcBorders>
              <w:bottom w:val="nil"/>
              <w:right w:val="nil"/>
            </w:tcBorders>
            <w:vAlign w:val="bottom"/>
          </w:tcPr>
          <w:p w14:paraId="6780ECE3" w14:textId="77777777" w:rsidR="00286FDA" w:rsidRPr="00DC3E7B" w:rsidRDefault="00286FDA" w:rsidP="00BF4D76">
            <w:pPr>
              <w:pStyle w:val="NoSpacing"/>
              <w:jc w:val="center"/>
              <w:rPr>
                <w:rFonts w:asciiTheme="minorHAnsi" w:hAnsiTheme="minorHAnsi"/>
                <w:u w:val="single"/>
              </w:rPr>
            </w:pPr>
            <w:r w:rsidRPr="00DC3E7B">
              <w:rPr>
                <w:rFonts w:asciiTheme="minorHAnsi" w:hAnsiTheme="minorHAnsi"/>
                <w:u w:val="single"/>
              </w:rPr>
              <w:t>Year</w:t>
            </w:r>
          </w:p>
        </w:tc>
        <w:tc>
          <w:tcPr>
            <w:tcW w:w="2337" w:type="dxa"/>
            <w:tcBorders>
              <w:left w:val="nil"/>
              <w:bottom w:val="nil"/>
              <w:right w:val="nil"/>
            </w:tcBorders>
          </w:tcPr>
          <w:p w14:paraId="580CBC2C" w14:textId="77777777" w:rsidR="00286FDA" w:rsidRPr="00A94B1C" w:rsidRDefault="00286FDA" w:rsidP="00BF4D76">
            <w:pPr>
              <w:pStyle w:val="NoSpacing"/>
              <w:jc w:val="center"/>
              <w:rPr>
                <w:rFonts w:asciiTheme="minorHAnsi" w:hAnsiTheme="minorHAnsi"/>
                <w:u w:val="single"/>
              </w:rPr>
            </w:pPr>
            <w:r w:rsidRPr="00A94B1C">
              <w:rPr>
                <w:rFonts w:asciiTheme="minorHAnsi" w:hAnsiTheme="minorHAnsi"/>
                <w:u w:val="single"/>
              </w:rPr>
              <w:t>Nipissing</w:t>
            </w:r>
          </w:p>
        </w:tc>
        <w:tc>
          <w:tcPr>
            <w:tcW w:w="2338" w:type="dxa"/>
            <w:tcBorders>
              <w:left w:val="nil"/>
              <w:bottom w:val="nil"/>
              <w:right w:val="nil"/>
            </w:tcBorders>
          </w:tcPr>
          <w:p w14:paraId="7B9BB98D" w14:textId="77777777" w:rsidR="00286FDA" w:rsidRPr="00A94B1C" w:rsidRDefault="00286FDA" w:rsidP="00BF4D76">
            <w:pPr>
              <w:pStyle w:val="NoSpacing"/>
              <w:jc w:val="center"/>
              <w:rPr>
                <w:rFonts w:asciiTheme="minorHAnsi" w:hAnsiTheme="minorHAnsi"/>
                <w:u w:val="single"/>
              </w:rPr>
            </w:pPr>
            <w:r w:rsidRPr="00A94B1C">
              <w:rPr>
                <w:rFonts w:asciiTheme="minorHAnsi" w:hAnsiTheme="minorHAnsi"/>
                <w:u w:val="single"/>
              </w:rPr>
              <w:t>U. Ottawa</w:t>
            </w:r>
          </w:p>
        </w:tc>
        <w:tc>
          <w:tcPr>
            <w:tcW w:w="2338" w:type="dxa"/>
            <w:tcBorders>
              <w:left w:val="nil"/>
              <w:bottom w:val="nil"/>
            </w:tcBorders>
          </w:tcPr>
          <w:p w14:paraId="202A40B3" w14:textId="77777777" w:rsidR="00286FDA" w:rsidRPr="00A94B1C" w:rsidRDefault="00286FDA" w:rsidP="00BF4D76">
            <w:pPr>
              <w:pStyle w:val="NoSpacing"/>
              <w:jc w:val="center"/>
              <w:rPr>
                <w:rFonts w:asciiTheme="minorHAnsi" w:hAnsiTheme="minorHAnsi"/>
                <w:u w:val="single"/>
              </w:rPr>
            </w:pPr>
            <w:r w:rsidRPr="00A94B1C">
              <w:rPr>
                <w:rFonts w:asciiTheme="minorHAnsi" w:hAnsiTheme="minorHAnsi"/>
                <w:u w:val="single"/>
              </w:rPr>
              <w:t>York</w:t>
            </w:r>
          </w:p>
        </w:tc>
      </w:tr>
      <w:tr w:rsidR="00286FDA" w14:paraId="53B39F01" w14:textId="77777777" w:rsidTr="00BF4D76">
        <w:tc>
          <w:tcPr>
            <w:tcW w:w="2337" w:type="dxa"/>
            <w:tcBorders>
              <w:top w:val="nil"/>
              <w:bottom w:val="nil"/>
              <w:right w:val="nil"/>
            </w:tcBorders>
          </w:tcPr>
          <w:p w14:paraId="0972CD0A" w14:textId="77777777" w:rsidR="00286FDA" w:rsidRDefault="00286FDA" w:rsidP="00BF4D76">
            <w:pPr>
              <w:pStyle w:val="NoSpacing"/>
              <w:jc w:val="center"/>
              <w:rPr>
                <w:rFonts w:asciiTheme="minorHAnsi" w:hAnsiTheme="minorHAnsi"/>
              </w:rPr>
            </w:pPr>
            <w:r>
              <w:rPr>
                <w:rFonts w:asciiTheme="minorHAnsi" w:hAnsiTheme="minorHAnsi"/>
              </w:rPr>
              <w:t>2012</w:t>
            </w:r>
          </w:p>
        </w:tc>
        <w:tc>
          <w:tcPr>
            <w:tcW w:w="2337" w:type="dxa"/>
            <w:tcBorders>
              <w:top w:val="nil"/>
              <w:left w:val="nil"/>
              <w:bottom w:val="nil"/>
              <w:right w:val="nil"/>
            </w:tcBorders>
          </w:tcPr>
          <w:p w14:paraId="1430A2D2" w14:textId="77777777" w:rsidR="00286FDA" w:rsidRDefault="00286FDA" w:rsidP="00BF4D76">
            <w:pPr>
              <w:pStyle w:val="NoSpacing"/>
              <w:jc w:val="center"/>
              <w:rPr>
                <w:rFonts w:asciiTheme="minorHAnsi" w:hAnsiTheme="minorHAnsi"/>
              </w:rPr>
            </w:pPr>
            <w:r>
              <w:rPr>
                <w:rFonts w:asciiTheme="minorHAnsi" w:hAnsiTheme="minorHAnsi"/>
              </w:rPr>
              <w:t>1.22</w:t>
            </w:r>
          </w:p>
        </w:tc>
        <w:tc>
          <w:tcPr>
            <w:tcW w:w="2338" w:type="dxa"/>
            <w:tcBorders>
              <w:top w:val="nil"/>
              <w:left w:val="nil"/>
              <w:bottom w:val="nil"/>
              <w:right w:val="nil"/>
            </w:tcBorders>
          </w:tcPr>
          <w:p w14:paraId="28E30FE2" w14:textId="77777777" w:rsidR="00286FDA" w:rsidRDefault="00286FDA" w:rsidP="00BF4D76">
            <w:pPr>
              <w:pStyle w:val="NoSpacing"/>
              <w:jc w:val="center"/>
              <w:rPr>
                <w:rFonts w:asciiTheme="minorHAnsi" w:hAnsiTheme="minorHAnsi"/>
              </w:rPr>
            </w:pPr>
            <w:r>
              <w:rPr>
                <w:rFonts w:asciiTheme="minorHAnsi" w:hAnsiTheme="minorHAnsi"/>
              </w:rPr>
              <w:t>16.40</w:t>
            </w:r>
          </w:p>
        </w:tc>
        <w:tc>
          <w:tcPr>
            <w:tcW w:w="2338" w:type="dxa"/>
            <w:tcBorders>
              <w:top w:val="nil"/>
              <w:left w:val="nil"/>
              <w:bottom w:val="nil"/>
            </w:tcBorders>
          </w:tcPr>
          <w:p w14:paraId="29E5106B" w14:textId="77777777" w:rsidR="00286FDA" w:rsidRDefault="00286FDA" w:rsidP="00BF4D76">
            <w:pPr>
              <w:pStyle w:val="NoSpacing"/>
              <w:jc w:val="center"/>
              <w:rPr>
                <w:rFonts w:asciiTheme="minorHAnsi" w:hAnsiTheme="minorHAnsi"/>
              </w:rPr>
            </w:pPr>
            <w:r>
              <w:rPr>
                <w:rFonts w:asciiTheme="minorHAnsi" w:hAnsiTheme="minorHAnsi"/>
              </w:rPr>
              <w:t>30.50</w:t>
            </w:r>
          </w:p>
        </w:tc>
      </w:tr>
      <w:tr w:rsidR="00286FDA" w14:paraId="1E9B531B" w14:textId="77777777" w:rsidTr="00BF4D76">
        <w:tc>
          <w:tcPr>
            <w:tcW w:w="2337" w:type="dxa"/>
            <w:tcBorders>
              <w:top w:val="nil"/>
              <w:bottom w:val="nil"/>
              <w:right w:val="nil"/>
            </w:tcBorders>
          </w:tcPr>
          <w:p w14:paraId="2CE7C3CE" w14:textId="77777777" w:rsidR="00286FDA" w:rsidRDefault="00286FDA" w:rsidP="00BF4D76">
            <w:pPr>
              <w:pStyle w:val="NoSpacing"/>
              <w:jc w:val="center"/>
              <w:rPr>
                <w:rFonts w:asciiTheme="minorHAnsi" w:hAnsiTheme="minorHAnsi"/>
              </w:rPr>
            </w:pPr>
            <w:r>
              <w:rPr>
                <w:rFonts w:asciiTheme="minorHAnsi" w:hAnsiTheme="minorHAnsi"/>
              </w:rPr>
              <w:t>2013</w:t>
            </w:r>
          </w:p>
        </w:tc>
        <w:tc>
          <w:tcPr>
            <w:tcW w:w="2337" w:type="dxa"/>
            <w:tcBorders>
              <w:top w:val="nil"/>
              <w:left w:val="nil"/>
              <w:bottom w:val="nil"/>
              <w:right w:val="nil"/>
            </w:tcBorders>
          </w:tcPr>
          <w:p w14:paraId="524F7287" w14:textId="77777777" w:rsidR="00286FDA" w:rsidRDefault="00286FDA" w:rsidP="00BF4D76">
            <w:pPr>
              <w:pStyle w:val="NoSpacing"/>
              <w:jc w:val="center"/>
              <w:rPr>
                <w:rFonts w:asciiTheme="minorHAnsi" w:hAnsiTheme="minorHAnsi"/>
              </w:rPr>
            </w:pPr>
            <w:r>
              <w:rPr>
                <w:rFonts w:asciiTheme="minorHAnsi" w:hAnsiTheme="minorHAnsi"/>
              </w:rPr>
              <w:t>0.41</w:t>
            </w:r>
          </w:p>
        </w:tc>
        <w:tc>
          <w:tcPr>
            <w:tcW w:w="2338" w:type="dxa"/>
            <w:tcBorders>
              <w:top w:val="nil"/>
              <w:left w:val="nil"/>
              <w:bottom w:val="nil"/>
              <w:right w:val="nil"/>
            </w:tcBorders>
          </w:tcPr>
          <w:p w14:paraId="4CE983D4" w14:textId="77777777" w:rsidR="00286FDA" w:rsidRDefault="00286FDA" w:rsidP="00BF4D76">
            <w:pPr>
              <w:pStyle w:val="NoSpacing"/>
              <w:jc w:val="center"/>
              <w:rPr>
                <w:rFonts w:asciiTheme="minorHAnsi" w:hAnsiTheme="minorHAnsi"/>
              </w:rPr>
            </w:pPr>
            <w:r>
              <w:rPr>
                <w:rFonts w:asciiTheme="minorHAnsi" w:hAnsiTheme="minorHAnsi"/>
              </w:rPr>
              <w:t>19.00</w:t>
            </w:r>
          </w:p>
        </w:tc>
        <w:tc>
          <w:tcPr>
            <w:tcW w:w="2338" w:type="dxa"/>
            <w:tcBorders>
              <w:top w:val="nil"/>
              <w:left w:val="nil"/>
              <w:bottom w:val="nil"/>
            </w:tcBorders>
          </w:tcPr>
          <w:p w14:paraId="35732D3D" w14:textId="77777777" w:rsidR="00286FDA" w:rsidRDefault="00286FDA" w:rsidP="00BF4D76">
            <w:pPr>
              <w:pStyle w:val="NoSpacing"/>
              <w:jc w:val="center"/>
              <w:rPr>
                <w:rFonts w:asciiTheme="minorHAnsi" w:hAnsiTheme="minorHAnsi"/>
              </w:rPr>
            </w:pPr>
            <w:r>
              <w:rPr>
                <w:rFonts w:asciiTheme="minorHAnsi" w:hAnsiTheme="minorHAnsi"/>
              </w:rPr>
              <w:t>29.80</w:t>
            </w:r>
          </w:p>
        </w:tc>
      </w:tr>
      <w:tr w:rsidR="00286FDA" w14:paraId="3449E8DF" w14:textId="77777777" w:rsidTr="00BF4D76">
        <w:tc>
          <w:tcPr>
            <w:tcW w:w="2337" w:type="dxa"/>
            <w:tcBorders>
              <w:top w:val="nil"/>
              <w:bottom w:val="nil"/>
              <w:right w:val="nil"/>
            </w:tcBorders>
          </w:tcPr>
          <w:p w14:paraId="47CFF366" w14:textId="77777777" w:rsidR="00286FDA" w:rsidRDefault="00286FDA" w:rsidP="00BF4D76">
            <w:pPr>
              <w:pStyle w:val="NoSpacing"/>
              <w:jc w:val="center"/>
              <w:rPr>
                <w:rFonts w:asciiTheme="minorHAnsi" w:hAnsiTheme="minorHAnsi"/>
              </w:rPr>
            </w:pPr>
            <w:r>
              <w:rPr>
                <w:rFonts w:asciiTheme="minorHAnsi" w:hAnsiTheme="minorHAnsi"/>
              </w:rPr>
              <w:t>2014</w:t>
            </w:r>
          </w:p>
        </w:tc>
        <w:tc>
          <w:tcPr>
            <w:tcW w:w="2337" w:type="dxa"/>
            <w:tcBorders>
              <w:top w:val="nil"/>
              <w:left w:val="nil"/>
              <w:bottom w:val="nil"/>
              <w:right w:val="nil"/>
            </w:tcBorders>
          </w:tcPr>
          <w:p w14:paraId="0FB95990" w14:textId="77777777" w:rsidR="00286FDA" w:rsidRDefault="00286FDA" w:rsidP="00BF4D76">
            <w:pPr>
              <w:pStyle w:val="NoSpacing"/>
              <w:jc w:val="center"/>
              <w:rPr>
                <w:rFonts w:asciiTheme="minorHAnsi" w:hAnsiTheme="minorHAnsi"/>
              </w:rPr>
            </w:pPr>
            <w:r>
              <w:rPr>
                <w:rFonts w:asciiTheme="minorHAnsi" w:hAnsiTheme="minorHAnsi"/>
              </w:rPr>
              <w:t>0.43</w:t>
            </w:r>
          </w:p>
        </w:tc>
        <w:tc>
          <w:tcPr>
            <w:tcW w:w="2338" w:type="dxa"/>
            <w:tcBorders>
              <w:top w:val="nil"/>
              <w:left w:val="nil"/>
              <w:bottom w:val="nil"/>
              <w:right w:val="nil"/>
            </w:tcBorders>
          </w:tcPr>
          <w:p w14:paraId="54ADA40E" w14:textId="77777777" w:rsidR="00286FDA" w:rsidRDefault="00286FDA" w:rsidP="00BF4D76">
            <w:pPr>
              <w:pStyle w:val="NoSpacing"/>
              <w:jc w:val="center"/>
              <w:rPr>
                <w:rFonts w:asciiTheme="minorHAnsi" w:hAnsiTheme="minorHAnsi"/>
              </w:rPr>
            </w:pPr>
            <w:r>
              <w:rPr>
                <w:rFonts w:asciiTheme="minorHAnsi" w:hAnsiTheme="minorHAnsi"/>
              </w:rPr>
              <w:t>19.16</w:t>
            </w:r>
          </w:p>
        </w:tc>
        <w:tc>
          <w:tcPr>
            <w:tcW w:w="2338" w:type="dxa"/>
            <w:tcBorders>
              <w:top w:val="nil"/>
              <w:left w:val="nil"/>
              <w:bottom w:val="nil"/>
            </w:tcBorders>
          </w:tcPr>
          <w:p w14:paraId="247B9683" w14:textId="77777777" w:rsidR="00286FDA" w:rsidRDefault="00286FDA" w:rsidP="00BF4D76">
            <w:pPr>
              <w:pStyle w:val="NoSpacing"/>
              <w:jc w:val="center"/>
              <w:rPr>
                <w:rFonts w:asciiTheme="minorHAnsi" w:hAnsiTheme="minorHAnsi"/>
              </w:rPr>
            </w:pPr>
            <w:r>
              <w:rPr>
                <w:rFonts w:asciiTheme="minorHAnsi" w:hAnsiTheme="minorHAnsi"/>
              </w:rPr>
              <w:t>28.61</w:t>
            </w:r>
          </w:p>
        </w:tc>
      </w:tr>
      <w:tr w:rsidR="00286FDA" w14:paraId="0F80E585" w14:textId="77777777" w:rsidTr="00BF4D76">
        <w:tc>
          <w:tcPr>
            <w:tcW w:w="2337" w:type="dxa"/>
            <w:tcBorders>
              <w:top w:val="nil"/>
              <w:bottom w:val="nil"/>
              <w:right w:val="nil"/>
            </w:tcBorders>
          </w:tcPr>
          <w:p w14:paraId="12777F38" w14:textId="77777777" w:rsidR="00286FDA" w:rsidRDefault="00286FDA" w:rsidP="00BF4D76">
            <w:pPr>
              <w:pStyle w:val="NoSpacing"/>
              <w:jc w:val="center"/>
              <w:rPr>
                <w:rFonts w:asciiTheme="minorHAnsi" w:hAnsiTheme="minorHAnsi"/>
              </w:rPr>
            </w:pPr>
            <w:r>
              <w:rPr>
                <w:rFonts w:asciiTheme="minorHAnsi" w:hAnsiTheme="minorHAnsi"/>
              </w:rPr>
              <w:t>2015</w:t>
            </w:r>
          </w:p>
        </w:tc>
        <w:tc>
          <w:tcPr>
            <w:tcW w:w="2337" w:type="dxa"/>
            <w:tcBorders>
              <w:top w:val="nil"/>
              <w:left w:val="nil"/>
              <w:bottom w:val="nil"/>
              <w:right w:val="nil"/>
            </w:tcBorders>
          </w:tcPr>
          <w:p w14:paraId="0D583068" w14:textId="77777777" w:rsidR="00286FDA" w:rsidRDefault="00286FDA" w:rsidP="00BF4D76">
            <w:pPr>
              <w:pStyle w:val="NoSpacing"/>
              <w:jc w:val="center"/>
              <w:rPr>
                <w:rFonts w:asciiTheme="minorHAnsi" w:hAnsiTheme="minorHAnsi"/>
              </w:rPr>
            </w:pPr>
            <w:r>
              <w:rPr>
                <w:rFonts w:asciiTheme="minorHAnsi" w:hAnsiTheme="minorHAnsi"/>
              </w:rPr>
              <w:t>2.07</w:t>
            </w:r>
          </w:p>
        </w:tc>
        <w:tc>
          <w:tcPr>
            <w:tcW w:w="2338" w:type="dxa"/>
            <w:tcBorders>
              <w:top w:val="nil"/>
              <w:left w:val="nil"/>
              <w:bottom w:val="nil"/>
              <w:right w:val="nil"/>
            </w:tcBorders>
          </w:tcPr>
          <w:p w14:paraId="0B45CDF1" w14:textId="77777777" w:rsidR="00286FDA" w:rsidRDefault="00286FDA" w:rsidP="00BF4D76">
            <w:pPr>
              <w:pStyle w:val="NoSpacing"/>
              <w:jc w:val="center"/>
              <w:rPr>
                <w:rFonts w:asciiTheme="minorHAnsi" w:hAnsiTheme="minorHAnsi"/>
              </w:rPr>
            </w:pPr>
            <w:r>
              <w:rPr>
                <w:rFonts w:asciiTheme="minorHAnsi" w:hAnsiTheme="minorHAnsi"/>
              </w:rPr>
              <w:t>22.00</w:t>
            </w:r>
          </w:p>
        </w:tc>
        <w:tc>
          <w:tcPr>
            <w:tcW w:w="2338" w:type="dxa"/>
            <w:tcBorders>
              <w:top w:val="nil"/>
              <w:left w:val="nil"/>
              <w:bottom w:val="nil"/>
            </w:tcBorders>
          </w:tcPr>
          <w:p w14:paraId="0FFA46F5" w14:textId="77777777" w:rsidR="00286FDA" w:rsidRDefault="00286FDA" w:rsidP="00BF4D76">
            <w:pPr>
              <w:pStyle w:val="NoSpacing"/>
              <w:jc w:val="center"/>
              <w:rPr>
                <w:rFonts w:asciiTheme="minorHAnsi" w:hAnsiTheme="minorHAnsi"/>
              </w:rPr>
            </w:pPr>
            <w:r>
              <w:rPr>
                <w:rFonts w:asciiTheme="minorHAnsi" w:hAnsiTheme="minorHAnsi"/>
              </w:rPr>
              <w:t>26.34</w:t>
            </w:r>
          </w:p>
        </w:tc>
      </w:tr>
      <w:tr w:rsidR="00286FDA" w14:paraId="6ABA380F" w14:textId="77777777" w:rsidTr="00BF4D76">
        <w:tc>
          <w:tcPr>
            <w:tcW w:w="2337" w:type="dxa"/>
            <w:tcBorders>
              <w:top w:val="nil"/>
              <w:right w:val="nil"/>
            </w:tcBorders>
          </w:tcPr>
          <w:p w14:paraId="5EF1E1DA" w14:textId="77777777" w:rsidR="00286FDA" w:rsidRDefault="00286FDA" w:rsidP="00BF4D76">
            <w:pPr>
              <w:pStyle w:val="NoSpacing"/>
              <w:jc w:val="center"/>
              <w:rPr>
                <w:rFonts w:asciiTheme="minorHAnsi" w:hAnsiTheme="minorHAnsi"/>
              </w:rPr>
            </w:pPr>
            <w:r>
              <w:rPr>
                <w:rFonts w:asciiTheme="minorHAnsi" w:hAnsiTheme="minorHAnsi"/>
              </w:rPr>
              <w:t>2016</w:t>
            </w:r>
          </w:p>
        </w:tc>
        <w:tc>
          <w:tcPr>
            <w:tcW w:w="2337" w:type="dxa"/>
            <w:tcBorders>
              <w:top w:val="nil"/>
              <w:left w:val="nil"/>
              <w:right w:val="nil"/>
            </w:tcBorders>
          </w:tcPr>
          <w:p w14:paraId="00724D6D" w14:textId="77777777" w:rsidR="00286FDA" w:rsidRDefault="00286FDA" w:rsidP="00BF4D76">
            <w:pPr>
              <w:pStyle w:val="NoSpacing"/>
              <w:jc w:val="center"/>
              <w:rPr>
                <w:rFonts w:asciiTheme="minorHAnsi" w:hAnsiTheme="minorHAnsi"/>
              </w:rPr>
            </w:pPr>
            <w:r>
              <w:rPr>
                <w:rFonts w:asciiTheme="minorHAnsi" w:hAnsiTheme="minorHAnsi"/>
              </w:rPr>
              <w:t>0.00</w:t>
            </w:r>
          </w:p>
        </w:tc>
        <w:tc>
          <w:tcPr>
            <w:tcW w:w="2338" w:type="dxa"/>
            <w:tcBorders>
              <w:top w:val="nil"/>
              <w:left w:val="nil"/>
              <w:right w:val="nil"/>
            </w:tcBorders>
          </w:tcPr>
          <w:p w14:paraId="3C111149" w14:textId="77777777" w:rsidR="00286FDA" w:rsidRDefault="00286FDA" w:rsidP="00BF4D76">
            <w:pPr>
              <w:pStyle w:val="NoSpacing"/>
              <w:jc w:val="center"/>
              <w:rPr>
                <w:rFonts w:asciiTheme="minorHAnsi" w:hAnsiTheme="minorHAnsi"/>
              </w:rPr>
            </w:pPr>
            <w:r>
              <w:rPr>
                <w:rFonts w:asciiTheme="minorHAnsi" w:hAnsiTheme="minorHAnsi"/>
              </w:rPr>
              <w:t>24.72</w:t>
            </w:r>
          </w:p>
        </w:tc>
        <w:tc>
          <w:tcPr>
            <w:tcW w:w="2338" w:type="dxa"/>
            <w:tcBorders>
              <w:top w:val="nil"/>
              <w:left w:val="nil"/>
            </w:tcBorders>
          </w:tcPr>
          <w:p w14:paraId="75D0EA52" w14:textId="77777777" w:rsidR="00286FDA" w:rsidRDefault="00286FDA" w:rsidP="00BF4D76">
            <w:pPr>
              <w:pStyle w:val="NoSpacing"/>
              <w:jc w:val="center"/>
              <w:rPr>
                <w:rFonts w:asciiTheme="minorHAnsi" w:hAnsiTheme="minorHAnsi"/>
              </w:rPr>
            </w:pPr>
            <w:r>
              <w:rPr>
                <w:rFonts w:asciiTheme="minorHAnsi" w:hAnsiTheme="minorHAnsi"/>
              </w:rPr>
              <w:t>25.85</w:t>
            </w:r>
          </w:p>
        </w:tc>
      </w:tr>
      <w:tr w:rsidR="00286FDA" w14:paraId="3F8F9642" w14:textId="77777777" w:rsidTr="00BF4D76">
        <w:tc>
          <w:tcPr>
            <w:tcW w:w="9350" w:type="dxa"/>
            <w:gridSpan w:val="4"/>
          </w:tcPr>
          <w:p w14:paraId="0505836D" w14:textId="77777777" w:rsidR="00286FDA" w:rsidRDefault="00286FDA" w:rsidP="00BF4D76">
            <w:pPr>
              <w:pStyle w:val="NoSpacing"/>
              <w:rPr>
                <w:rFonts w:asciiTheme="minorHAnsi" w:hAnsiTheme="minorHAnsi"/>
              </w:rPr>
            </w:pPr>
            <w:r w:rsidRPr="002E4FF4">
              <w:rPr>
                <w:rFonts w:asciiTheme="minorHAnsi" w:hAnsiTheme="minorHAnsi"/>
                <w:vertAlign w:val="superscript"/>
              </w:rPr>
              <w:t>a</w:t>
            </w:r>
            <w:r>
              <w:rPr>
                <w:rFonts w:asciiTheme="minorHAnsi" w:hAnsiTheme="minorHAnsi"/>
              </w:rPr>
              <w:t xml:space="preserve"> Nipissing and Ottawa track application and admission rates for students who self-identify as visible minorities. York, alternatively, tracks data for racialized groups, which they define as “</w:t>
            </w:r>
            <w:r w:rsidRPr="002E4FF4">
              <w:rPr>
                <w:rFonts w:asciiTheme="minorHAnsi" w:hAnsiTheme="minorHAnsi"/>
              </w:rPr>
              <w:t xml:space="preserve">a group of people who may experience social inequities </w:t>
            </w:r>
            <w:proofErr w:type="gramStart"/>
            <w:r w:rsidRPr="002E4FF4">
              <w:rPr>
                <w:rFonts w:asciiTheme="minorHAnsi" w:hAnsiTheme="minorHAnsi"/>
              </w:rPr>
              <w:t>on the basis of</w:t>
            </w:r>
            <w:proofErr w:type="gramEnd"/>
            <w:r w:rsidRPr="002E4FF4">
              <w:rPr>
                <w:rFonts w:asciiTheme="minorHAnsi" w:hAnsiTheme="minorHAnsi"/>
              </w:rPr>
              <w:t xml:space="preserve"> their perceived common racial background, colour and/or ethnicity, </w:t>
            </w:r>
            <w:r>
              <w:rPr>
                <w:rFonts w:asciiTheme="minorHAnsi" w:hAnsiTheme="minorHAnsi"/>
              </w:rPr>
              <w:t xml:space="preserve">[or] </w:t>
            </w:r>
            <w:r w:rsidRPr="002E4FF4">
              <w:rPr>
                <w:rFonts w:asciiTheme="minorHAnsi" w:hAnsiTheme="minorHAnsi"/>
              </w:rPr>
              <w:t>faith, and who may be subjected to differential treatment in a society and its institutions</w:t>
            </w:r>
            <w:r>
              <w:rPr>
                <w:rFonts w:asciiTheme="minorHAnsi" w:hAnsiTheme="minorHAnsi"/>
              </w:rPr>
              <w:t>.” While these are distinct definitions, we have included them together in this table for comparison.</w:t>
            </w:r>
          </w:p>
        </w:tc>
      </w:tr>
    </w:tbl>
    <w:p w14:paraId="02843B85" w14:textId="77777777" w:rsidR="00F54897" w:rsidRDefault="00F54897" w:rsidP="00F54897">
      <w:pPr>
        <w:pStyle w:val="NoSpacing"/>
        <w:rPr>
          <w:rFonts w:asciiTheme="minorHAnsi" w:hAnsiTheme="minorHAnsi"/>
          <w:b/>
        </w:rPr>
      </w:pPr>
    </w:p>
    <w:p w14:paraId="25EC131E" w14:textId="77777777" w:rsidR="005A1476" w:rsidRDefault="005A1476">
      <w:pPr>
        <w:rPr>
          <w:rFonts w:asciiTheme="minorHAnsi" w:hAnsiTheme="minorHAnsi"/>
          <w:b/>
        </w:rPr>
      </w:pPr>
      <w:r>
        <w:rPr>
          <w:rFonts w:asciiTheme="minorHAnsi" w:hAnsiTheme="minorHAnsi"/>
          <w:b/>
        </w:rPr>
        <w:br w:type="page"/>
      </w:r>
    </w:p>
    <w:p w14:paraId="6B003956" w14:textId="77777777" w:rsidR="0074138F" w:rsidRDefault="0074138F" w:rsidP="0074138F">
      <w:pPr>
        <w:pStyle w:val="NoSpacing"/>
        <w:spacing w:line="480" w:lineRule="auto"/>
        <w:rPr>
          <w:rFonts w:asciiTheme="minorHAnsi" w:hAnsiTheme="minorHAnsi"/>
        </w:rPr>
      </w:pPr>
      <w:r>
        <w:rPr>
          <w:rFonts w:asciiTheme="minorHAnsi" w:hAnsiTheme="minorHAnsi"/>
        </w:rPr>
        <w:lastRenderedPageBreak/>
        <w:t>underrepresented in postsecondary education (see Finnie et al., 2011b), there is no evidence to suggest that York and Ottawa’s successes are the norm in Ontario. Indeed, as our participants shared in a separate part of this study, some universities may be closer to Nipissing’s lower rate of representation (see Holden &amp; Kitchen, submitted).</w:t>
      </w:r>
    </w:p>
    <w:p w14:paraId="239DA22C" w14:textId="08E241BA" w:rsidR="00020380" w:rsidRDefault="005A1476" w:rsidP="0074138F">
      <w:pPr>
        <w:pStyle w:val="NoSpacing"/>
        <w:spacing w:line="480" w:lineRule="auto"/>
        <w:rPr>
          <w:rFonts w:asciiTheme="minorHAnsi" w:hAnsiTheme="minorHAnsi"/>
        </w:rPr>
      </w:pPr>
      <w:r>
        <w:rPr>
          <w:rFonts w:asciiTheme="minorHAnsi" w:hAnsiTheme="minorHAnsi"/>
        </w:rPr>
        <w:tab/>
        <w:t xml:space="preserve">Ottawa’s visible minority data are interesting because of noticeable differences between their English and French teacher education programs, reported here in aggregate. The proportion of visible minority students in Ottawa’s French program has nearly doubled since 2012, whereas the proportion in the English program has decreased slightly over the same period. That is, much of the growth in Ottawa’s overall rate of representation has occurred in their French teacher education program. </w:t>
      </w:r>
    </w:p>
    <w:p w14:paraId="08AE7759" w14:textId="6002C8A6" w:rsidR="007B714F" w:rsidRDefault="006E67B6" w:rsidP="0074138F">
      <w:pPr>
        <w:pStyle w:val="NoSpacing"/>
        <w:spacing w:line="480" w:lineRule="auto"/>
        <w:rPr>
          <w:rFonts w:asciiTheme="minorHAnsi" w:hAnsiTheme="minorHAnsi"/>
        </w:rPr>
      </w:pPr>
      <w:r>
        <w:rPr>
          <w:rFonts w:asciiTheme="minorHAnsi" w:hAnsiTheme="minorHAnsi"/>
        </w:rPr>
        <w:tab/>
        <w:t xml:space="preserve">York’s rate of representation for racialized students has decreased since 2013. Despite this change, their data are still </w:t>
      </w:r>
      <w:r w:rsidR="00CB2B82">
        <w:rPr>
          <w:rFonts w:asciiTheme="minorHAnsi" w:hAnsiTheme="minorHAnsi"/>
        </w:rPr>
        <w:t>noteworthy</w:t>
      </w:r>
      <w:r>
        <w:rPr>
          <w:rFonts w:asciiTheme="minorHAnsi" w:hAnsiTheme="minorHAnsi"/>
        </w:rPr>
        <w:t xml:space="preserve">. </w:t>
      </w:r>
      <w:proofErr w:type="gramStart"/>
      <w:r>
        <w:rPr>
          <w:rFonts w:asciiTheme="minorHAnsi" w:hAnsiTheme="minorHAnsi"/>
        </w:rPr>
        <w:t>In particular, it</w:t>
      </w:r>
      <w:proofErr w:type="gramEnd"/>
      <w:r>
        <w:rPr>
          <w:rFonts w:asciiTheme="minorHAnsi" w:hAnsiTheme="minorHAnsi"/>
        </w:rPr>
        <w:t xml:space="preserve"> should be noted that for every year in the past five years, at least a quarter of the students in their program have chosen to self-identify as a racialized person. Further, for the past five years, one in five students who apply to the program self-identifies, contributing to York’s comparatively high levels of diversity. </w:t>
      </w:r>
      <w:r w:rsidR="007B714F">
        <w:rPr>
          <w:rFonts w:asciiTheme="minorHAnsi" w:hAnsiTheme="minorHAnsi"/>
        </w:rPr>
        <w:t>Other teacher education programs would do well to look to York’s efforts when reviewing their own access and equity strategies.</w:t>
      </w:r>
    </w:p>
    <w:p w14:paraId="36C82227" w14:textId="65D8600B" w:rsidR="00020380" w:rsidRDefault="005D7FEB" w:rsidP="0074138F">
      <w:pPr>
        <w:pStyle w:val="NoSpacing"/>
        <w:spacing w:line="480" w:lineRule="auto"/>
        <w:rPr>
          <w:rFonts w:asciiTheme="minorHAnsi" w:hAnsiTheme="minorHAnsi"/>
        </w:rPr>
      </w:pPr>
      <w:r>
        <w:rPr>
          <w:rFonts w:asciiTheme="minorHAnsi" w:hAnsiTheme="minorHAnsi"/>
        </w:rPr>
        <w:tab/>
        <w:t xml:space="preserve">Statistics Canada (2016) notes that “19.1% of the total population … identified themselves as a member of a visible minority group” (para. 6). </w:t>
      </w:r>
      <w:r w:rsidR="00BF4D76">
        <w:rPr>
          <w:rFonts w:asciiTheme="minorHAnsi" w:hAnsiTheme="minorHAnsi"/>
        </w:rPr>
        <w:t>Both York and Ottawa report higher proportions in their programs.</w:t>
      </w:r>
      <w:r>
        <w:rPr>
          <w:rFonts w:asciiTheme="minorHAnsi" w:hAnsiTheme="minorHAnsi"/>
        </w:rPr>
        <w:t xml:space="preserve"> Since 2015, both universities have reported proportions between 22.00 and 26.34%. As most other teacher education programs do not track participation rates for visible minorities and racialized persons, we are unable to report on </w:t>
      </w:r>
      <w:r>
        <w:rPr>
          <w:rFonts w:asciiTheme="minorHAnsi" w:hAnsiTheme="minorHAnsi"/>
        </w:rPr>
        <w:lastRenderedPageBreak/>
        <w:t xml:space="preserve">whether these high rates of participation exist across the province. This appears to be a uniquely Canadian predicament: admissions literature in the United States is particularly concerned with participation rates of visible and racialized minorities (Black et al., 2015; Bowen &amp; Bok, 1998; Cortes, 2010). While Canadian teacher education programs regularly articulate a commitment to equity, </w:t>
      </w:r>
      <w:r w:rsidR="00BB60EC">
        <w:rPr>
          <w:rFonts w:asciiTheme="minorHAnsi" w:hAnsiTheme="minorHAnsi"/>
        </w:rPr>
        <w:t xml:space="preserve">most programs in Ontario do not track application and admissions rates from visible minorities or racialized persons. </w:t>
      </w:r>
      <w:r w:rsidR="00AC5D68">
        <w:rPr>
          <w:rFonts w:asciiTheme="minorHAnsi" w:hAnsiTheme="minorHAnsi"/>
        </w:rPr>
        <w:t xml:space="preserve">Such commitments are difficult to fulfil if </w:t>
      </w:r>
      <w:r w:rsidR="00617C80">
        <w:rPr>
          <w:rFonts w:asciiTheme="minorHAnsi" w:hAnsiTheme="minorHAnsi"/>
        </w:rPr>
        <w:t xml:space="preserve">we do not have access to data to inform our policy decisions. </w:t>
      </w:r>
    </w:p>
    <w:p w14:paraId="559DE725" w14:textId="38E97ABC" w:rsidR="00305284" w:rsidRDefault="005039B1" w:rsidP="0074138F">
      <w:pPr>
        <w:pStyle w:val="NoSpacing"/>
        <w:spacing w:line="480" w:lineRule="auto"/>
        <w:jc w:val="center"/>
        <w:rPr>
          <w:rFonts w:asciiTheme="minorHAnsi" w:hAnsiTheme="minorHAnsi"/>
          <w:b/>
        </w:rPr>
      </w:pPr>
      <w:r>
        <w:rPr>
          <w:rFonts w:asciiTheme="minorHAnsi" w:hAnsiTheme="minorHAnsi"/>
          <w:b/>
        </w:rPr>
        <w:t xml:space="preserve">Recommendations and </w:t>
      </w:r>
      <w:r w:rsidR="00BF2EF4">
        <w:rPr>
          <w:rFonts w:asciiTheme="minorHAnsi" w:hAnsiTheme="minorHAnsi"/>
          <w:b/>
        </w:rPr>
        <w:t>Final Thoughts</w:t>
      </w:r>
    </w:p>
    <w:p w14:paraId="522FA17B" w14:textId="701657FC" w:rsidR="006C79AA" w:rsidRDefault="00BF2EF4" w:rsidP="0074138F">
      <w:pPr>
        <w:pStyle w:val="NoSpacing"/>
        <w:spacing w:line="480" w:lineRule="auto"/>
        <w:rPr>
          <w:rFonts w:asciiTheme="minorHAnsi" w:hAnsiTheme="minorHAnsi"/>
        </w:rPr>
      </w:pPr>
      <w:r>
        <w:rPr>
          <w:rFonts w:asciiTheme="minorHAnsi" w:hAnsiTheme="minorHAnsi"/>
        </w:rPr>
        <w:tab/>
      </w:r>
      <w:r w:rsidR="00B46BEE">
        <w:rPr>
          <w:rFonts w:asciiTheme="minorHAnsi" w:hAnsiTheme="minorHAnsi"/>
        </w:rPr>
        <w:t xml:space="preserve">Diversifying Canada’s teaching force to better reflect the population of schools is a priority for Canada’s education system. </w:t>
      </w:r>
      <w:r w:rsidR="000D780A">
        <w:rPr>
          <w:rFonts w:asciiTheme="minorHAnsi" w:hAnsiTheme="minorHAnsi"/>
        </w:rPr>
        <w:t xml:space="preserve">Consistent with previous studies’ concerns, the present data suggest that </w:t>
      </w:r>
      <w:r w:rsidR="00B66385">
        <w:rPr>
          <w:rFonts w:asciiTheme="minorHAnsi" w:hAnsiTheme="minorHAnsi"/>
        </w:rPr>
        <w:t>much can be done to enhance access and representation for members of underrepresented groups</w:t>
      </w:r>
      <w:r w:rsidR="000D780A">
        <w:rPr>
          <w:rFonts w:asciiTheme="minorHAnsi" w:hAnsiTheme="minorHAnsi"/>
        </w:rPr>
        <w:t xml:space="preserve"> </w:t>
      </w:r>
      <w:r w:rsidR="000D780A">
        <w:rPr>
          <w:rFonts w:asciiTheme="minorHAnsi" w:hAnsiTheme="minorHAnsi"/>
        </w:rPr>
        <w:t>(Childs &amp; Ferguson, 2016; DeLuca 2015)</w:t>
      </w:r>
      <w:r w:rsidR="00B66385">
        <w:rPr>
          <w:rFonts w:asciiTheme="minorHAnsi" w:hAnsiTheme="minorHAnsi"/>
        </w:rPr>
        <w:t xml:space="preserve">. Again, these recommendations do not serve to critique our colleagues, their programs, or the work that they are doing. We recognize that this discussion is newly emerging in the Ontario context, and so necessarily we may yet improve the way we are supporting and measuring equity across our programs. </w:t>
      </w:r>
      <w:r w:rsidR="00AB1735">
        <w:rPr>
          <w:rFonts w:asciiTheme="minorHAnsi" w:hAnsiTheme="minorHAnsi"/>
        </w:rPr>
        <w:t>As t</w:t>
      </w:r>
      <w:r w:rsidR="00B66385">
        <w:rPr>
          <w:rFonts w:asciiTheme="minorHAnsi" w:hAnsiTheme="minorHAnsi"/>
        </w:rPr>
        <w:t>eacher educators, university administrators, government policymakers, and teacher education</w:t>
      </w:r>
      <w:r w:rsidR="00015B65">
        <w:rPr>
          <w:rFonts w:asciiTheme="minorHAnsi" w:hAnsiTheme="minorHAnsi"/>
        </w:rPr>
        <w:t xml:space="preserve"> </w:t>
      </w:r>
      <w:r w:rsidR="00AB1735">
        <w:rPr>
          <w:rFonts w:asciiTheme="minorHAnsi" w:hAnsiTheme="minorHAnsi"/>
        </w:rPr>
        <w:t xml:space="preserve">researchers, </w:t>
      </w:r>
      <w:r w:rsidR="00041FE1">
        <w:rPr>
          <w:rFonts w:asciiTheme="minorHAnsi" w:hAnsiTheme="minorHAnsi"/>
        </w:rPr>
        <w:t xml:space="preserve">we must examine what approaches will support the needs of diverse populations. We must align our admissions practices with the programs that they serve, and </w:t>
      </w:r>
      <w:proofErr w:type="gramStart"/>
      <w:r w:rsidR="00041FE1">
        <w:rPr>
          <w:rFonts w:asciiTheme="minorHAnsi" w:hAnsiTheme="minorHAnsi"/>
        </w:rPr>
        <w:t>in particular, align</w:t>
      </w:r>
      <w:proofErr w:type="gramEnd"/>
      <w:r w:rsidR="00041FE1">
        <w:rPr>
          <w:rFonts w:asciiTheme="minorHAnsi" w:hAnsiTheme="minorHAnsi"/>
        </w:rPr>
        <w:t xml:space="preserve"> our policies to the equity goals that are central to our programs and our philosophies of teaching. </w:t>
      </w:r>
      <w:r w:rsidR="00313A08">
        <w:rPr>
          <w:rFonts w:asciiTheme="minorHAnsi" w:hAnsiTheme="minorHAnsi"/>
        </w:rPr>
        <w:t xml:space="preserve">The recommendations that follow are rooted in this challenge. </w:t>
      </w:r>
    </w:p>
    <w:p w14:paraId="6CB51D3A" w14:textId="1FAC5152" w:rsidR="00967DA0" w:rsidRDefault="006C79AA" w:rsidP="0074138F">
      <w:pPr>
        <w:pStyle w:val="NoSpacing"/>
        <w:spacing w:line="480" w:lineRule="auto"/>
        <w:rPr>
          <w:rFonts w:asciiTheme="minorHAnsi" w:hAnsiTheme="minorHAnsi"/>
        </w:rPr>
      </w:pPr>
      <w:r>
        <w:rPr>
          <w:rFonts w:asciiTheme="minorHAnsi" w:hAnsiTheme="minorHAnsi"/>
        </w:rPr>
        <w:tab/>
        <w:t>As we have written elsewhere (</w:t>
      </w:r>
      <w:r w:rsidR="00090ACF">
        <w:rPr>
          <w:rFonts w:asciiTheme="minorHAnsi" w:hAnsiTheme="minorHAnsi"/>
        </w:rPr>
        <w:t xml:space="preserve">Holden &amp; Kitchen, 2016; 2017; Holden et al., 2017; Kitchen &amp; Petrarca, 2015; </w:t>
      </w:r>
      <w:r w:rsidR="002C6233">
        <w:rPr>
          <w:rFonts w:asciiTheme="minorHAnsi" w:hAnsiTheme="minorHAnsi"/>
        </w:rPr>
        <w:t xml:space="preserve">2016; </w:t>
      </w:r>
      <w:r w:rsidR="00090ACF">
        <w:rPr>
          <w:rFonts w:asciiTheme="minorHAnsi" w:hAnsiTheme="minorHAnsi"/>
        </w:rPr>
        <w:t>Petrarca &amp; Kitchen, 2017)</w:t>
      </w:r>
      <w:r>
        <w:rPr>
          <w:rFonts w:asciiTheme="minorHAnsi" w:hAnsiTheme="minorHAnsi"/>
        </w:rPr>
        <w:t xml:space="preserve">, openness and collaboration </w:t>
      </w:r>
      <w:r w:rsidR="00AF2766">
        <w:rPr>
          <w:rFonts w:asciiTheme="minorHAnsi" w:hAnsiTheme="minorHAnsi"/>
        </w:rPr>
        <w:t xml:space="preserve">across </w:t>
      </w:r>
      <w:r w:rsidR="00AF2766">
        <w:rPr>
          <w:rFonts w:asciiTheme="minorHAnsi" w:hAnsiTheme="minorHAnsi"/>
        </w:rPr>
        <w:lastRenderedPageBreak/>
        <w:t>institutions is key to improving equity across the province. T</w:t>
      </w:r>
      <w:r>
        <w:rPr>
          <w:rFonts w:asciiTheme="minorHAnsi" w:hAnsiTheme="minorHAnsi"/>
        </w:rPr>
        <w:t>eacher educators should continue sharing descriptive practices with one another</w:t>
      </w:r>
      <w:r w:rsidR="003F6D4A">
        <w:rPr>
          <w:rFonts w:asciiTheme="minorHAnsi" w:hAnsiTheme="minorHAnsi"/>
        </w:rPr>
        <w:t xml:space="preserve"> (see </w:t>
      </w:r>
      <w:proofErr w:type="spellStart"/>
      <w:r w:rsidR="003F6D4A">
        <w:rPr>
          <w:rFonts w:asciiTheme="minorHAnsi" w:hAnsiTheme="minorHAnsi"/>
        </w:rPr>
        <w:t>Falkenberg</w:t>
      </w:r>
      <w:proofErr w:type="spellEnd"/>
      <w:r w:rsidR="003F6D4A">
        <w:rPr>
          <w:rFonts w:asciiTheme="minorHAnsi" w:hAnsiTheme="minorHAnsi"/>
        </w:rPr>
        <w:t xml:space="preserve">, 2015: </w:t>
      </w:r>
      <w:r w:rsidR="00090ACF">
        <w:rPr>
          <w:rFonts w:asciiTheme="minorHAnsi" w:hAnsiTheme="minorHAnsi"/>
        </w:rPr>
        <w:t>Petrarca &amp; Kitchen, 2017)</w:t>
      </w:r>
      <w:r w:rsidR="003F6D4A">
        <w:rPr>
          <w:rFonts w:asciiTheme="minorHAnsi" w:hAnsiTheme="minorHAnsi"/>
        </w:rPr>
        <w:t>, and should seek out cross-institutional conversations.</w:t>
      </w:r>
      <w:r w:rsidR="0045706E" w:rsidRPr="0045706E">
        <w:rPr>
          <w:rFonts w:asciiTheme="minorHAnsi" w:hAnsiTheme="minorHAnsi"/>
        </w:rPr>
        <w:t xml:space="preserve"> </w:t>
      </w:r>
      <w:proofErr w:type="gramStart"/>
      <w:r w:rsidR="000D780A">
        <w:rPr>
          <w:rFonts w:asciiTheme="minorHAnsi" w:hAnsiTheme="minorHAnsi"/>
        </w:rPr>
        <w:t>In particular, it</w:t>
      </w:r>
      <w:proofErr w:type="gramEnd"/>
      <w:r w:rsidR="000D780A">
        <w:rPr>
          <w:rFonts w:asciiTheme="minorHAnsi" w:hAnsiTheme="minorHAnsi"/>
        </w:rPr>
        <w:t xml:space="preserve"> would be valuable for institutions to share </w:t>
      </w:r>
      <w:r w:rsidR="00F87F76">
        <w:rPr>
          <w:rFonts w:asciiTheme="minorHAnsi" w:hAnsiTheme="minorHAnsi"/>
        </w:rPr>
        <w:t xml:space="preserve">successes in enhancing the accuracy and sensitivity of self-identification tools (see Thomson et al., 2011). The Canada Research Chairs program offers a number recommendations that would be helpful in this area (see Government of Canada, 2017). </w:t>
      </w:r>
      <w:r w:rsidR="0045706E">
        <w:rPr>
          <w:rFonts w:asciiTheme="minorHAnsi" w:hAnsiTheme="minorHAnsi"/>
        </w:rPr>
        <w:t xml:space="preserve">Openness between institutions will </w:t>
      </w:r>
      <w:r w:rsidR="00B822DD">
        <w:rPr>
          <w:rFonts w:asciiTheme="minorHAnsi" w:hAnsiTheme="minorHAnsi"/>
        </w:rPr>
        <w:t xml:space="preserve">also </w:t>
      </w:r>
      <w:r w:rsidR="0045706E">
        <w:rPr>
          <w:rFonts w:asciiTheme="minorHAnsi" w:hAnsiTheme="minorHAnsi"/>
        </w:rPr>
        <w:t>allow teacher educators to consider key questions from new perspectives: What is working? What do you find challenging? If your participation rates are high or are improving, why is that? What have you done to address local challenges?</w:t>
      </w:r>
    </w:p>
    <w:p w14:paraId="59C51040" w14:textId="6B01C392" w:rsidR="00967DA0" w:rsidRDefault="00967DA0" w:rsidP="0074138F">
      <w:pPr>
        <w:pStyle w:val="NoSpacing"/>
        <w:spacing w:line="480" w:lineRule="auto"/>
        <w:rPr>
          <w:rFonts w:asciiTheme="minorHAnsi" w:hAnsiTheme="minorHAnsi"/>
        </w:rPr>
      </w:pPr>
      <w:r>
        <w:rPr>
          <w:rFonts w:asciiTheme="minorHAnsi" w:hAnsiTheme="minorHAnsi"/>
        </w:rPr>
        <w:tab/>
        <w:t xml:space="preserve">University administrators, including deans, registrars, program managers, and other key personnel are well positioned to support teacher educators in these endeavours. Most importantly, university administrators should track participation rates for underrepresented groups more comprehensively, using strategies from successful institutions as a model for best practice. As we suggested for teacher educators, administrators should follow Stead (2016) and </w:t>
      </w:r>
      <w:proofErr w:type="spellStart"/>
      <w:r>
        <w:rPr>
          <w:rFonts w:asciiTheme="minorHAnsi" w:hAnsiTheme="minorHAnsi"/>
        </w:rPr>
        <w:t>Sedlacek’s</w:t>
      </w:r>
      <w:proofErr w:type="spellEnd"/>
      <w:r>
        <w:rPr>
          <w:rFonts w:asciiTheme="minorHAnsi" w:hAnsiTheme="minorHAnsi"/>
        </w:rPr>
        <w:t xml:space="preserve"> (2004) recommendation to not limit statistical data to specific categories – including those groups most frequently mentioned in this report. Instead, universities track the groups that students do identify with, so that richer, more accurate data is available at each institution. At no point should programs use proxies to measure participation rates of underrepresented groups (Long, 2015). Just as socioeconomic status has proven to be a weak proxy for race in the United States (</w:t>
      </w:r>
      <w:proofErr w:type="spellStart"/>
      <w:r>
        <w:rPr>
          <w:rFonts w:asciiTheme="minorHAnsi" w:hAnsiTheme="minorHAnsi"/>
        </w:rPr>
        <w:t>Cancian</w:t>
      </w:r>
      <w:proofErr w:type="spellEnd"/>
      <w:r>
        <w:rPr>
          <w:rFonts w:asciiTheme="minorHAnsi" w:hAnsiTheme="minorHAnsi"/>
        </w:rPr>
        <w:t>, 1998), if institutions are committed to increasing the racial diversity of their programs, other proxies should not be used to replace direct measurements of student self-identification rates.</w:t>
      </w:r>
    </w:p>
    <w:p w14:paraId="780D4B93" w14:textId="7DCA4839" w:rsidR="00967DA0" w:rsidRDefault="00967DA0" w:rsidP="0074138F">
      <w:pPr>
        <w:pStyle w:val="NoSpacing"/>
        <w:spacing w:line="480" w:lineRule="auto"/>
        <w:rPr>
          <w:rFonts w:asciiTheme="minorHAnsi" w:hAnsiTheme="minorHAnsi"/>
        </w:rPr>
      </w:pPr>
      <w:r>
        <w:rPr>
          <w:rFonts w:asciiTheme="minorHAnsi" w:hAnsiTheme="minorHAnsi"/>
        </w:rPr>
        <w:lastRenderedPageBreak/>
        <w:tab/>
        <w:t xml:space="preserve">University administrators should also actively support teacher educators in gathering participation data. While </w:t>
      </w:r>
      <w:r w:rsidR="00B85432">
        <w:rPr>
          <w:rFonts w:asciiTheme="minorHAnsi" w:hAnsiTheme="minorHAnsi"/>
        </w:rPr>
        <w:t xml:space="preserve">some faculties have access to rigorous admissions data, the data available to other teacher educators is limited. </w:t>
      </w:r>
      <w:r>
        <w:rPr>
          <w:rFonts w:asciiTheme="minorHAnsi" w:hAnsiTheme="minorHAnsi"/>
        </w:rPr>
        <w:t>Our colleagues also identified institutional challenges when faculties of education did not collaborate with central administration offices</w:t>
      </w:r>
      <w:r w:rsidR="00F96E11">
        <w:rPr>
          <w:rFonts w:asciiTheme="minorHAnsi" w:hAnsiTheme="minorHAnsi"/>
        </w:rPr>
        <w:t>, and vice versa</w:t>
      </w:r>
      <w:r>
        <w:rPr>
          <w:rFonts w:asciiTheme="minorHAnsi" w:hAnsiTheme="minorHAnsi"/>
        </w:rPr>
        <w:t>. As teacher educators reconsider their equity policies and the ways that participation rates are measured, it seems appropriate to also consider how faculties and central services might move forward together with these challenges.</w:t>
      </w:r>
    </w:p>
    <w:p w14:paraId="32F58BC7" w14:textId="5D1F5460" w:rsidR="00755479" w:rsidRDefault="00755479" w:rsidP="0074138F">
      <w:pPr>
        <w:pStyle w:val="NoSpacing"/>
        <w:spacing w:line="480" w:lineRule="auto"/>
        <w:rPr>
          <w:rFonts w:asciiTheme="minorHAnsi" w:hAnsiTheme="minorHAnsi"/>
        </w:rPr>
      </w:pPr>
      <w:r>
        <w:rPr>
          <w:rFonts w:asciiTheme="minorHAnsi" w:hAnsiTheme="minorHAnsi"/>
        </w:rPr>
        <w:tab/>
        <w:t xml:space="preserve">Government policymakers should also be interested in ensuring teacher education programs better reflect the diversity of the student population. Universities and faculties of education need support if they are to address longstanding equity issues, particularly if equity and access are a priority for Ontario </w:t>
      </w:r>
      <w:r w:rsidR="009D0144">
        <w:rPr>
          <w:rFonts w:asciiTheme="minorHAnsi" w:hAnsiTheme="minorHAnsi"/>
        </w:rPr>
        <w:t xml:space="preserve">and other </w:t>
      </w:r>
      <w:r>
        <w:rPr>
          <w:rFonts w:asciiTheme="minorHAnsi" w:hAnsiTheme="minorHAnsi"/>
        </w:rPr>
        <w:t>government</w:t>
      </w:r>
      <w:r w:rsidR="009D0144">
        <w:rPr>
          <w:rFonts w:asciiTheme="minorHAnsi" w:hAnsiTheme="minorHAnsi"/>
        </w:rPr>
        <w:t>s</w:t>
      </w:r>
      <w:r>
        <w:rPr>
          <w:rFonts w:asciiTheme="minorHAnsi" w:hAnsiTheme="minorHAnsi"/>
        </w:rPr>
        <w:t xml:space="preserve"> (Wynne, 2014). Teacher educators are not able to track the diversity of the teaching profession directly, and indeed only have the direct ability to track participation rates within their own institutions. Wider collaboration is needed if we want to truly answer questions about the profession’s representativeness, or to address challenges and limitations within our programs. The </w:t>
      </w:r>
      <w:r w:rsidR="0086596A">
        <w:rPr>
          <w:rFonts w:asciiTheme="minorHAnsi" w:hAnsiTheme="minorHAnsi"/>
        </w:rPr>
        <w:t xml:space="preserve">Ministry of Advanced Skills and Educational Development (MAESD) </w:t>
      </w:r>
      <w:r>
        <w:rPr>
          <w:rFonts w:asciiTheme="minorHAnsi" w:hAnsiTheme="minorHAnsi"/>
        </w:rPr>
        <w:t>and OME are well positioned to provide such support at a provincial level.</w:t>
      </w:r>
    </w:p>
    <w:p w14:paraId="4B394EEA" w14:textId="77777777" w:rsidR="00755479" w:rsidRDefault="00755479" w:rsidP="0074138F">
      <w:pPr>
        <w:pStyle w:val="NoSpacing"/>
        <w:spacing w:line="480" w:lineRule="auto"/>
        <w:ind w:firstLine="720"/>
        <w:rPr>
          <w:rFonts w:asciiTheme="minorHAnsi" w:hAnsiTheme="minorHAnsi"/>
        </w:rPr>
      </w:pPr>
      <w:r>
        <w:rPr>
          <w:rFonts w:asciiTheme="minorHAnsi" w:hAnsiTheme="minorHAnsi"/>
        </w:rPr>
        <w:t xml:space="preserve">Further research on changing rates of participation is also necessary. This study, which was intended as a diagnostic baseline for Ontario teacher education, does not present a full picture of participation rates across the province. In large part, this is due to the nascent field of equity admissions research in Ontario (see Childs et al., 2011), as well as the inconsistent data </w:t>
      </w:r>
      <w:r>
        <w:rPr>
          <w:rFonts w:asciiTheme="minorHAnsi" w:hAnsiTheme="minorHAnsi"/>
        </w:rPr>
        <w:lastRenderedPageBreak/>
        <w:t>available at each institution. Continued investigation of provincial participation rates would greatly improve our understanding of how participation rates may be changing over time.</w:t>
      </w:r>
    </w:p>
    <w:p w14:paraId="48C5991C" w14:textId="4BAEB393" w:rsidR="0074138F" w:rsidRDefault="00755479" w:rsidP="0074138F">
      <w:pPr>
        <w:pStyle w:val="NoSpacing"/>
        <w:spacing w:line="480" w:lineRule="auto"/>
        <w:ind w:firstLine="720"/>
        <w:rPr>
          <w:rFonts w:asciiTheme="minorHAnsi" w:hAnsiTheme="minorHAnsi"/>
        </w:rPr>
      </w:pPr>
      <w:r>
        <w:rPr>
          <w:rFonts w:asciiTheme="minorHAnsi" w:hAnsiTheme="minorHAnsi"/>
        </w:rPr>
        <w:t xml:space="preserve">Access and equity are complex issues that require continued attention and effort. Teacher education programs cannot address these issues in isolation: the applicant pool is influenced by socialization generally and their experiences in education. Admissions processes may have implicit biases. Hiring considerations by boards will also affect how equitable schools are in terms of the diversity of their teachers. Thus, while the discussion of access and equity in admissions is itself complex, it must also be nested in a larger dialogue. There are many challenges that we ought to consider as we work to integrate our equity and access policies within our larger program goals. It is our hope that the information in this study </w:t>
      </w:r>
      <w:r w:rsidR="00FE081A">
        <w:rPr>
          <w:rFonts w:asciiTheme="minorHAnsi" w:hAnsiTheme="minorHAnsi"/>
        </w:rPr>
        <w:t xml:space="preserve">prompts teacher educators and other stakeholders </w:t>
      </w:r>
      <w:r w:rsidR="00CA63C8">
        <w:rPr>
          <w:rFonts w:asciiTheme="minorHAnsi" w:hAnsiTheme="minorHAnsi"/>
        </w:rPr>
        <w:t xml:space="preserve">to continue the conversation. </w:t>
      </w:r>
      <w:r w:rsidR="00D47992">
        <w:rPr>
          <w:rFonts w:asciiTheme="minorHAnsi" w:hAnsiTheme="minorHAnsi"/>
        </w:rPr>
        <w:t xml:space="preserve">The purpose of this study was to provide baseline data </w:t>
      </w:r>
      <w:r w:rsidR="00EC4D77">
        <w:rPr>
          <w:rFonts w:asciiTheme="minorHAnsi" w:hAnsiTheme="minorHAnsi"/>
        </w:rPr>
        <w:t xml:space="preserve">about rates of representation in Ontario teacher education as they are currently measured. </w:t>
      </w:r>
      <w:r w:rsidR="00213898">
        <w:rPr>
          <w:rFonts w:asciiTheme="minorHAnsi" w:hAnsiTheme="minorHAnsi"/>
        </w:rPr>
        <w:t xml:space="preserve">We hope this information </w:t>
      </w:r>
      <w:r w:rsidR="0071009D">
        <w:rPr>
          <w:rFonts w:asciiTheme="minorHAnsi" w:hAnsiTheme="minorHAnsi"/>
        </w:rPr>
        <w:t>– initial as it is – enables stakeholders to</w:t>
      </w:r>
      <w:r w:rsidR="00FE081A">
        <w:rPr>
          <w:rFonts w:asciiTheme="minorHAnsi" w:hAnsiTheme="minorHAnsi"/>
        </w:rPr>
        <w:t xml:space="preserve"> </w:t>
      </w:r>
      <w:r w:rsidR="00597B9D">
        <w:rPr>
          <w:rFonts w:asciiTheme="minorHAnsi" w:hAnsiTheme="minorHAnsi"/>
        </w:rPr>
        <w:t>reflect on</w:t>
      </w:r>
      <w:r w:rsidR="00FE081A">
        <w:rPr>
          <w:rFonts w:asciiTheme="minorHAnsi" w:hAnsiTheme="minorHAnsi"/>
        </w:rPr>
        <w:t xml:space="preserve"> their own practices</w:t>
      </w:r>
      <w:r w:rsidR="00597B9D">
        <w:rPr>
          <w:rFonts w:asciiTheme="minorHAnsi" w:hAnsiTheme="minorHAnsi"/>
        </w:rPr>
        <w:t>;</w:t>
      </w:r>
      <w:r w:rsidR="00FE081A">
        <w:rPr>
          <w:rFonts w:asciiTheme="minorHAnsi" w:hAnsiTheme="minorHAnsi"/>
        </w:rPr>
        <w:t xml:space="preserve"> </w:t>
      </w:r>
      <w:r w:rsidR="00597B9D">
        <w:rPr>
          <w:rFonts w:asciiTheme="minorHAnsi" w:hAnsiTheme="minorHAnsi"/>
        </w:rPr>
        <w:t xml:space="preserve">share their approaches, successes, and struggles across institutions; and </w:t>
      </w:r>
      <w:proofErr w:type="gramStart"/>
      <w:r w:rsidR="00A03F9A">
        <w:rPr>
          <w:rFonts w:asciiTheme="minorHAnsi" w:hAnsiTheme="minorHAnsi"/>
        </w:rPr>
        <w:t>make adjustments</w:t>
      </w:r>
      <w:r w:rsidR="009B71AA">
        <w:rPr>
          <w:rFonts w:asciiTheme="minorHAnsi" w:hAnsiTheme="minorHAnsi"/>
        </w:rPr>
        <w:t xml:space="preserve"> </w:t>
      </w:r>
      <w:r w:rsidR="00A03F9A">
        <w:rPr>
          <w:rFonts w:asciiTheme="minorHAnsi" w:hAnsiTheme="minorHAnsi"/>
        </w:rPr>
        <w:t>to</w:t>
      </w:r>
      <w:proofErr w:type="gramEnd"/>
      <w:r w:rsidR="00A03F9A">
        <w:rPr>
          <w:rFonts w:asciiTheme="minorHAnsi" w:hAnsiTheme="minorHAnsi"/>
        </w:rPr>
        <w:t xml:space="preserve"> how </w:t>
      </w:r>
      <w:r w:rsidR="005E3CD5">
        <w:rPr>
          <w:rFonts w:asciiTheme="minorHAnsi" w:hAnsiTheme="minorHAnsi"/>
        </w:rPr>
        <w:t xml:space="preserve">teacher candidates apply and self-identify, how </w:t>
      </w:r>
      <w:r w:rsidR="00233190">
        <w:rPr>
          <w:rFonts w:asciiTheme="minorHAnsi" w:hAnsiTheme="minorHAnsi"/>
        </w:rPr>
        <w:t xml:space="preserve">we measure quality and diversity, and </w:t>
      </w:r>
      <w:r w:rsidR="00674C03">
        <w:rPr>
          <w:rFonts w:asciiTheme="minorHAnsi" w:hAnsiTheme="minorHAnsi"/>
        </w:rPr>
        <w:t xml:space="preserve">how we align our admissions practices with articulated goals of diversity and equity. We believe </w:t>
      </w:r>
      <w:r w:rsidR="008A42AD">
        <w:rPr>
          <w:rFonts w:asciiTheme="minorHAnsi" w:hAnsiTheme="minorHAnsi"/>
        </w:rPr>
        <w:t xml:space="preserve">that these are </w:t>
      </w:r>
      <w:r w:rsidR="00B538D0">
        <w:rPr>
          <w:rFonts w:asciiTheme="minorHAnsi" w:hAnsiTheme="minorHAnsi"/>
        </w:rPr>
        <w:t>reasonable</w:t>
      </w:r>
      <w:r w:rsidR="008A42AD">
        <w:rPr>
          <w:rFonts w:asciiTheme="minorHAnsi" w:hAnsiTheme="minorHAnsi"/>
        </w:rPr>
        <w:t xml:space="preserve"> goals, </w:t>
      </w:r>
      <w:r w:rsidR="00FE0040">
        <w:rPr>
          <w:rFonts w:asciiTheme="minorHAnsi" w:hAnsiTheme="minorHAnsi"/>
        </w:rPr>
        <w:t xml:space="preserve">and suggest that </w:t>
      </w:r>
      <w:r w:rsidR="000B2ABE">
        <w:rPr>
          <w:rFonts w:asciiTheme="minorHAnsi" w:hAnsiTheme="minorHAnsi"/>
        </w:rPr>
        <w:t xml:space="preserve">by examining and sharing our progress, we </w:t>
      </w:r>
      <w:r w:rsidR="006851D4">
        <w:rPr>
          <w:rFonts w:asciiTheme="minorHAnsi" w:hAnsiTheme="minorHAnsi"/>
        </w:rPr>
        <w:t xml:space="preserve">will be better positioned as a profession to </w:t>
      </w:r>
      <w:r w:rsidR="00B538D0">
        <w:rPr>
          <w:rFonts w:asciiTheme="minorHAnsi" w:hAnsiTheme="minorHAnsi"/>
        </w:rPr>
        <w:t>achieve them.</w:t>
      </w:r>
    </w:p>
    <w:p w14:paraId="73D85DF8" w14:textId="6480C96D" w:rsidR="002F4D93" w:rsidRDefault="002F4D93" w:rsidP="0074138F">
      <w:pPr>
        <w:pStyle w:val="NoSpacing"/>
        <w:spacing w:line="480" w:lineRule="auto"/>
        <w:jc w:val="center"/>
        <w:rPr>
          <w:rFonts w:asciiTheme="minorHAnsi" w:hAnsiTheme="minorHAnsi"/>
          <w:b/>
        </w:rPr>
      </w:pPr>
      <w:r w:rsidRPr="002F4D93">
        <w:rPr>
          <w:rFonts w:asciiTheme="minorHAnsi" w:hAnsiTheme="minorHAnsi"/>
          <w:b/>
        </w:rPr>
        <w:t>Acknowledgements</w:t>
      </w:r>
    </w:p>
    <w:p w14:paraId="699E9AED" w14:textId="5E3677DB" w:rsidR="00E21E24" w:rsidRDefault="002F4D93" w:rsidP="0074138F">
      <w:pPr>
        <w:pStyle w:val="NoSpacing"/>
        <w:spacing w:line="480" w:lineRule="auto"/>
        <w:rPr>
          <w:rFonts w:asciiTheme="minorHAnsi" w:hAnsiTheme="minorHAnsi"/>
          <w:b/>
        </w:rPr>
      </w:pPr>
      <w:r w:rsidRPr="002F4D93">
        <w:rPr>
          <w:rFonts w:asciiTheme="minorHAnsi" w:hAnsiTheme="minorHAnsi"/>
        </w:rPr>
        <w:tab/>
        <w:t>This study was funded by the Ministry of Advanced Skills and Educational Development (MAESD) through the Ontario Human Capital Research and Innovation Fund (OHCRIF).</w:t>
      </w:r>
      <w:r w:rsidR="00E21E24">
        <w:rPr>
          <w:rFonts w:asciiTheme="minorHAnsi" w:hAnsiTheme="minorHAnsi"/>
          <w:b/>
        </w:rPr>
        <w:br w:type="page"/>
      </w:r>
    </w:p>
    <w:p w14:paraId="189ACFE4" w14:textId="082BEC5E" w:rsidR="008566F6" w:rsidRPr="00A47198" w:rsidRDefault="00F44468" w:rsidP="0074138F">
      <w:pPr>
        <w:pStyle w:val="NoSpacing"/>
        <w:spacing w:line="480" w:lineRule="auto"/>
        <w:jc w:val="center"/>
        <w:rPr>
          <w:rFonts w:asciiTheme="minorHAnsi" w:hAnsiTheme="minorHAnsi"/>
          <w:b/>
        </w:rPr>
      </w:pPr>
      <w:r w:rsidRPr="00E21E24">
        <w:rPr>
          <w:rFonts w:asciiTheme="minorHAnsi" w:hAnsiTheme="minorHAnsi"/>
          <w:b/>
        </w:rPr>
        <w:lastRenderedPageBreak/>
        <w:t>References</w:t>
      </w:r>
    </w:p>
    <w:p w14:paraId="06262324" w14:textId="77777777" w:rsidR="008A77E8" w:rsidRDefault="004B2BB5" w:rsidP="0074138F">
      <w:pPr>
        <w:pStyle w:val="NoSpacing"/>
        <w:spacing w:line="480" w:lineRule="auto"/>
        <w:ind w:left="720" w:hanging="720"/>
        <w:rPr>
          <w:rFonts w:asciiTheme="minorHAnsi" w:hAnsiTheme="minorHAnsi"/>
        </w:rPr>
      </w:pPr>
      <w:r w:rsidRPr="00392869">
        <w:rPr>
          <w:rFonts w:asciiTheme="minorHAnsi" w:hAnsiTheme="minorHAnsi"/>
        </w:rPr>
        <w:t xml:space="preserve">Archibald, J., Pidgeon, M., </w:t>
      </w:r>
      <w:proofErr w:type="spellStart"/>
      <w:r w:rsidRPr="00392869">
        <w:rPr>
          <w:rFonts w:asciiTheme="minorHAnsi" w:hAnsiTheme="minorHAnsi"/>
        </w:rPr>
        <w:t>Janvier</w:t>
      </w:r>
      <w:proofErr w:type="spellEnd"/>
      <w:r w:rsidRPr="00392869">
        <w:rPr>
          <w:rFonts w:asciiTheme="minorHAnsi" w:hAnsiTheme="minorHAnsi"/>
        </w:rPr>
        <w:t xml:space="preserve">, S., Commodore, H., &amp; McCormick, R. (2002). Teacher recruitment, retention and training: Implications for First Nations education: A literature review. Ottawa, Canada: Minister’s Working Group on Education, Indian and Northern Affairs, 1-30. </w:t>
      </w:r>
    </w:p>
    <w:p w14:paraId="03615E8F" w14:textId="030EA310" w:rsidR="002C6233" w:rsidRDefault="002C6233" w:rsidP="0074138F">
      <w:pPr>
        <w:pStyle w:val="NoSpacing"/>
        <w:spacing w:line="480" w:lineRule="auto"/>
        <w:ind w:left="720" w:hanging="720"/>
        <w:rPr>
          <w:rFonts w:asciiTheme="minorHAnsi" w:hAnsiTheme="minorHAnsi"/>
        </w:rPr>
      </w:pPr>
      <w:r w:rsidRPr="002C6233">
        <w:rPr>
          <w:rFonts w:asciiTheme="minorHAnsi" w:hAnsiTheme="minorHAnsi"/>
        </w:rPr>
        <w:t>Association of Canadian Deans of Education</w:t>
      </w:r>
      <w:r>
        <w:rPr>
          <w:rFonts w:asciiTheme="minorHAnsi" w:hAnsiTheme="minorHAnsi"/>
        </w:rPr>
        <w:t xml:space="preserve"> (ACDE). (2014). Accord on the i</w:t>
      </w:r>
      <w:r w:rsidRPr="002C6233">
        <w:rPr>
          <w:rFonts w:asciiTheme="minorHAnsi" w:hAnsiTheme="minorHAnsi"/>
        </w:rPr>
        <w:t xml:space="preserve">nternationalization of </w:t>
      </w:r>
      <w:r>
        <w:rPr>
          <w:rFonts w:asciiTheme="minorHAnsi" w:hAnsiTheme="minorHAnsi"/>
        </w:rPr>
        <w:t>e</w:t>
      </w:r>
      <w:r w:rsidRPr="002C6233">
        <w:rPr>
          <w:rFonts w:asciiTheme="minorHAnsi" w:hAnsiTheme="minorHAnsi"/>
        </w:rPr>
        <w:t xml:space="preserve">ducation. </w:t>
      </w:r>
    </w:p>
    <w:p w14:paraId="7FB2A15B" w14:textId="77777777" w:rsidR="00287949" w:rsidRDefault="00287949" w:rsidP="0074138F">
      <w:pPr>
        <w:pStyle w:val="NoSpacing"/>
        <w:spacing w:line="480" w:lineRule="auto"/>
        <w:ind w:left="720" w:hanging="720"/>
        <w:rPr>
          <w:rFonts w:asciiTheme="minorHAnsi" w:hAnsiTheme="minorHAnsi"/>
        </w:rPr>
      </w:pPr>
      <w:r>
        <w:rPr>
          <w:rFonts w:asciiTheme="minorHAnsi" w:hAnsiTheme="minorHAnsi"/>
        </w:rPr>
        <w:t xml:space="preserve">Black, S. E., Cortes, K. E., &amp; </w:t>
      </w:r>
      <w:proofErr w:type="spellStart"/>
      <w:r>
        <w:rPr>
          <w:rFonts w:asciiTheme="minorHAnsi" w:hAnsiTheme="minorHAnsi"/>
        </w:rPr>
        <w:t>Lincove</w:t>
      </w:r>
      <w:proofErr w:type="spellEnd"/>
      <w:r>
        <w:rPr>
          <w:rFonts w:asciiTheme="minorHAnsi" w:hAnsiTheme="minorHAnsi"/>
        </w:rPr>
        <w:t>, J. A. (2015). Apply yourself: Racial and ethnic difference in college application (Working Paper No. 21368). Cambridge, MA: National Bureau of Economic Research.</w:t>
      </w:r>
    </w:p>
    <w:p w14:paraId="02E51EB1" w14:textId="77777777" w:rsidR="008A77E8" w:rsidRDefault="00287949" w:rsidP="0074138F">
      <w:pPr>
        <w:pStyle w:val="NoSpacing"/>
        <w:spacing w:line="480" w:lineRule="auto"/>
        <w:ind w:left="720" w:hanging="720"/>
        <w:rPr>
          <w:rFonts w:asciiTheme="minorHAnsi" w:hAnsiTheme="minorHAnsi"/>
        </w:rPr>
      </w:pPr>
      <w:r w:rsidRPr="00A92D6F">
        <w:rPr>
          <w:rFonts w:asciiTheme="minorHAnsi" w:hAnsiTheme="minorHAnsi"/>
        </w:rPr>
        <w:t xml:space="preserve">Bowen, W. G., &amp; Bok, D. (1998). </w:t>
      </w:r>
      <w:r w:rsidRPr="00A92D6F">
        <w:rPr>
          <w:rFonts w:asciiTheme="minorHAnsi" w:hAnsiTheme="minorHAnsi"/>
          <w:i/>
        </w:rPr>
        <w:t>The shape of the river: Long-term consequences of considering race in college and university admissions</w:t>
      </w:r>
      <w:r w:rsidRPr="00A92D6F">
        <w:rPr>
          <w:rFonts w:asciiTheme="minorHAnsi" w:hAnsiTheme="minorHAnsi"/>
        </w:rPr>
        <w:t>. Princeton, NJ: Princeton University.</w:t>
      </w:r>
    </w:p>
    <w:p w14:paraId="2AD72A45" w14:textId="77777777" w:rsidR="008A77E8" w:rsidRPr="00097692" w:rsidRDefault="008A77E8" w:rsidP="0074138F">
      <w:pPr>
        <w:pStyle w:val="NoSpacing"/>
        <w:spacing w:line="480" w:lineRule="auto"/>
        <w:ind w:left="720" w:hanging="720"/>
        <w:rPr>
          <w:rFonts w:asciiTheme="minorHAnsi" w:hAnsiTheme="minorHAnsi"/>
        </w:rPr>
      </w:pPr>
      <w:r w:rsidRPr="00097692">
        <w:rPr>
          <w:rFonts w:asciiTheme="minorHAnsi" w:hAnsiTheme="minorHAnsi"/>
        </w:rPr>
        <w:t>Brennan, J., &amp; Naidoo, R. (2008). Higher education and the achievement (and/or prevention) of equity and social justice.</w:t>
      </w:r>
      <w:r>
        <w:rPr>
          <w:rFonts w:asciiTheme="minorHAnsi" w:hAnsiTheme="minorHAnsi"/>
        </w:rPr>
        <w:t xml:space="preserve"> </w:t>
      </w:r>
      <w:r w:rsidRPr="006D1F78">
        <w:rPr>
          <w:rFonts w:asciiTheme="minorHAnsi" w:hAnsiTheme="minorHAnsi"/>
          <w:i/>
        </w:rPr>
        <w:t>Higher Education, 56</w:t>
      </w:r>
      <w:r w:rsidRPr="00097692">
        <w:rPr>
          <w:rFonts w:asciiTheme="minorHAnsi" w:hAnsiTheme="minorHAnsi"/>
        </w:rPr>
        <w:t>(3), 287–302.</w:t>
      </w:r>
    </w:p>
    <w:p w14:paraId="1B7D54DD" w14:textId="77777777" w:rsidR="008334F2" w:rsidRDefault="004B2BB5" w:rsidP="0074138F">
      <w:pPr>
        <w:pStyle w:val="NoSpacing"/>
        <w:spacing w:line="480" w:lineRule="auto"/>
        <w:ind w:left="720" w:hanging="720"/>
        <w:rPr>
          <w:rFonts w:asciiTheme="minorHAnsi" w:hAnsiTheme="minorHAnsi"/>
        </w:rPr>
      </w:pPr>
      <w:r w:rsidRPr="00392869">
        <w:rPr>
          <w:rFonts w:asciiTheme="minorHAnsi" w:hAnsiTheme="minorHAnsi"/>
        </w:rPr>
        <w:t xml:space="preserve">Brown, C. G., &amp; Scott, J. A. (2014). Who are we choosing for school leaders? A review of university admissions practices. </w:t>
      </w:r>
      <w:r w:rsidRPr="00392869">
        <w:rPr>
          <w:rFonts w:asciiTheme="minorHAnsi" w:hAnsiTheme="minorHAnsi"/>
          <w:i/>
          <w:iCs/>
        </w:rPr>
        <w:t>International Journal of Educational Leadership Preparation, 9</w:t>
      </w:r>
      <w:r w:rsidRPr="00392869">
        <w:rPr>
          <w:rFonts w:asciiTheme="minorHAnsi" w:hAnsiTheme="minorHAnsi"/>
        </w:rPr>
        <w:t xml:space="preserve">(2), 1-9.  </w:t>
      </w:r>
    </w:p>
    <w:p w14:paraId="322D6AD1" w14:textId="77777777" w:rsidR="008334F2" w:rsidRPr="008334F2" w:rsidRDefault="008334F2" w:rsidP="0074138F">
      <w:pPr>
        <w:pStyle w:val="NoSpacing"/>
        <w:spacing w:line="480" w:lineRule="auto"/>
        <w:ind w:left="720" w:hanging="720"/>
        <w:rPr>
          <w:rFonts w:asciiTheme="minorHAnsi" w:hAnsiTheme="minorHAnsi"/>
        </w:rPr>
      </w:pPr>
      <w:proofErr w:type="spellStart"/>
      <w:r w:rsidRPr="00153734">
        <w:rPr>
          <w:rFonts w:ascii="Calibri" w:hAnsi="Calibri"/>
          <w:bCs/>
        </w:rPr>
        <w:t>Cancian</w:t>
      </w:r>
      <w:proofErr w:type="spellEnd"/>
      <w:r w:rsidRPr="00153734">
        <w:rPr>
          <w:rFonts w:ascii="Calibri" w:hAnsi="Calibri"/>
          <w:bCs/>
        </w:rPr>
        <w:t xml:space="preserve">, M. (1998). Race-based versus class-based affirmative action in college admissions. </w:t>
      </w:r>
      <w:r w:rsidRPr="00153734">
        <w:rPr>
          <w:rFonts w:ascii="Calibri" w:hAnsi="Calibri"/>
          <w:bCs/>
          <w:i/>
        </w:rPr>
        <w:t>Journal of Policy Analysis and Management, 17</w:t>
      </w:r>
      <w:r w:rsidRPr="00153734">
        <w:rPr>
          <w:rFonts w:ascii="Calibri" w:hAnsi="Calibri"/>
          <w:bCs/>
        </w:rPr>
        <w:t>(1), 94–105.</w:t>
      </w:r>
    </w:p>
    <w:p w14:paraId="1367A72D" w14:textId="77777777" w:rsidR="00FE23A2" w:rsidRDefault="00FE23A2" w:rsidP="0074138F">
      <w:pPr>
        <w:pStyle w:val="NoSpacing"/>
        <w:spacing w:line="480" w:lineRule="auto"/>
        <w:ind w:left="720" w:hanging="720"/>
        <w:rPr>
          <w:rFonts w:ascii="Calibri" w:hAnsi="Calibri"/>
          <w:bCs/>
        </w:rPr>
      </w:pPr>
      <w:r w:rsidRPr="00FE23A2">
        <w:rPr>
          <w:rFonts w:ascii="Calibri" w:hAnsi="Calibri"/>
          <w:bCs/>
        </w:rPr>
        <w:t xml:space="preserve">Casey, C., &amp; Childs, R. (2011). Teacher education admission criteria as measure of preparedness for teaching. </w:t>
      </w:r>
      <w:r w:rsidRPr="00FE23A2">
        <w:rPr>
          <w:rFonts w:ascii="Calibri" w:hAnsi="Calibri"/>
          <w:bCs/>
          <w:i/>
        </w:rPr>
        <w:t>Canadian Journal of Education, 34</w:t>
      </w:r>
      <w:r w:rsidRPr="00FE23A2">
        <w:rPr>
          <w:rFonts w:ascii="Calibri" w:hAnsi="Calibri"/>
          <w:bCs/>
        </w:rPr>
        <w:t>(2), 3-20.</w:t>
      </w:r>
    </w:p>
    <w:p w14:paraId="0A851542" w14:textId="77777777" w:rsidR="008A77E8" w:rsidRDefault="004F6373" w:rsidP="0074138F">
      <w:pPr>
        <w:pStyle w:val="NoSpacing"/>
        <w:spacing w:line="480" w:lineRule="auto"/>
        <w:ind w:left="720" w:hanging="720"/>
        <w:rPr>
          <w:rFonts w:asciiTheme="minorHAnsi" w:hAnsiTheme="minorHAnsi"/>
        </w:rPr>
      </w:pPr>
      <w:r w:rsidRPr="00393AEE">
        <w:rPr>
          <w:rFonts w:ascii="Calibri" w:hAnsi="Calibri"/>
          <w:bCs/>
        </w:rPr>
        <w:lastRenderedPageBreak/>
        <w:t xml:space="preserve">Childs, R. A., Broad, K., Gallagher-Mackay, K., Sher, Y., </w:t>
      </w:r>
      <w:proofErr w:type="spellStart"/>
      <w:r w:rsidRPr="00393AEE">
        <w:rPr>
          <w:rFonts w:ascii="Calibri" w:hAnsi="Calibri"/>
          <w:bCs/>
        </w:rPr>
        <w:t>Escayg</w:t>
      </w:r>
      <w:proofErr w:type="spellEnd"/>
      <w:r w:rsidRPr="00393AEE">
        <w:rPr>
          <w:rFonts w:ascii="Calibri" w:hAnsi="Calibri"/>
          <w:bCs/>
        </w:rPr>
        <w:t xml:space="preserve">, K., &amp; McGrath, C. (2011). Pursuing equity in and through teacher education program admissions. </w:t>
      </w:r>
      <w:r w:rsidRPr="00393AEE">
        <w:rPr>
          <w:rFonts w:ascii="Calibri" w:hAnsi="Calibri"/>
          <w:bCs/>
          <w:i/>
          <w:iCs/>
        </w:rPr>
        <w:t>Education Policy Analysis Archives, 19</w:t>
      </w:r>
      <w:r w:rsidRPr="00393AEE">
        <w:rPr>
          <w:rFonts w:ascii="Calibri" w:hAnsi="Calibri"/>
          <w:bCs/>
        </w:rPr>
        <w:t xml:space="preserve">(24). Retrieved May 14, 2015, from </w:t>
      </w:r>
      <w:hyperlink r:id="rId9">
        <w:r w:rsidRPr="00393AEE">
          <w:rPr>
            <w:rStyle w:val="Hyperlink"/>
            <w:rFonts w:ascii="Calibri" w:eastAsia="Calibri" w:hAnsi="Calibri" w:cs="Calibri"/>
            <w:bCs/>
          </w:rPr>
          <w:t>http://epaa.asu.edu/ojs/article/view/803</w:t>
        </w:r>
      </w:hyperlink>
    </w:p>
    <w:p w14:paraId="2E8D4963" w14:textId="77777777" w:rsidR="008A77E8" w:rsidRDefault="008A77E8" w:rsidP="0074138F">
      <w:pPr>
        <w:pStyle w:val="NoSpacing"/>
        <w:spacing w:line="480" w:lineRule="auto"/>
        <w:ind w:left="720" w:hanging="720"/>
        <w:rPr>
          <w:rFonts w:asciiTheme="minorHAnsi" w:hAnsiTheme="minorHAnsi"/>
        </w:rPr>
      </w:pPr>
      <w:r w:rsidRPr="00393AEE">
        <w:rPr>
          <w:rFonts w:ascii="Calibri" w:hAnsi="Calibri"/>
          <w:bCs/>
        </w:rPr>
        <w:t>C</w:t>
      </w:r>
      <w:r>
        <w:rPr>
          <w:rFonts w:ascii="Calibri" w:hAnsi="Calibri"/>
          <w:bCs/>
        </w:rPr>
        <w:t>hilds, R., &amp; Ferguson, A. K. (2016</w:t>
      </w:r>
      <w:r w:rsidRPr="00393AEE">
        <w:rPr>
          <w:rFonts w:ascii="Calibri" w:hAnsi="Calibri"/>
          <w:bCs/>
        </w:rPr>
        <w:t xml:space="preserve">). Changes in, to, and through the initial teacher education program admission process. In L. Thomas &amp; M. </w:t>
      </w:r>
      <w:proofErr w:type="spellStart"/>
      <w:r w:rsidRPr="00393AEE">
        <w:rPr>
          <w:rFonts w:ascii="Calibri" w:hAnsi="Calibri"/>
          <w:bCs/>
        </w:rPr>
        <w:t>Hirschkorn</w:t>
      </w:r>
      <w:proofErr w:type="spellEnd"/>
      <w:r w:rsidRPr="00393AEE">
        <w:rPr>
          <w:rFonts w:ascii="Calibri" w:hAnsi="Calibri"/>
          <w:bCs/>
        </w:rPr>
        <w:t>, (Eds</w:t>
      </w:r>
      <w:r>
        <w:rPr>
          <w:rFonts w:ascii="Calibri" w:hAnsi="Calibri"/>
          <w:bCs/>
        </w:rPr>
        <w:t>.</w:t>
      </w:r>
      <w:r w:rsidRPr="00393AEE">
        <w:rPr>
          <w:rFonts w:ascii="Calibri" w:hAnsi="Calibri"/>
          <w:bCs/>
        </w:rPr>
        <w:t xml:space="preserve">). </w:t>
      </w:r>
      <w:r w:rsidRPr="00393AEE">
        <w:rPr>
          <w:rFonts w:ascii="Calibri" w:hAnsi="Calibri"/>
          <w:bCs/>
          <w:i/>
          <w:iCs/>
        </w:rPr>
        <w:t xml:space="preserve">Change and progress in Canadian teacher education: Research on recent innovations in teacher preparation in Canada </w:t>
      </w:r>
      <w:r w:rsidRPr="00393AEE">
        <w:rPr>
          <w:rFonts w:ascii="Calibri" w:hAnsi="Calibri"/>
          <w:bCs/>
        </w:rPr>
        <w:t>(pp. 420-440)</w:t>
      </w:r>
      <w:r w:rsidRPr="00393AEE">
        <w:rPr>
          <w:rFonts w:ascii="Calibri" w:hAnsi="Calibri"/>
          <w:bCs/>
          <w:i/>
          <w:iCs/>
        </w:rPr>
        <w:t xml:space="preserve">. </w:t>
      </w:r>
      <w:r w:rsidRPr="00393AEE">
        <w:rPr>
          <w:rFonts w:ascii="Calibri" w:hAnsi="Calibri"/>
          <w:bCs/>
        </w:rPr>
        <w:t>Ottawa, ON: Canadian Association for Teacher Education.</w:t>
      </w:r>
    </w:p>
    <w:p w14:paraId="7D452E95" w14:textId="77777777" w:rsidR="00287949" w:rsidRDefault="004F6373" w:rsidP="0074138F">
      <w:pPr>
        <w:pStyle w:val="NoSpacing"/>
        <w:spacing w:line="480" w:lineRule="auto"/>
        <w:ind w:left="720" w:hanging="720"/>
        <w:rPr>
          <w:rFonts w:asciiTheme="minorHAnsi" w:hAnsiTheme="minorHAnsi"/>
        </w:rPr>
      </w:pPr>
      <w:r w:rsidRPr="00D94C30">
        <w:rPr>
          <w:rFonts w:asciiTheme="minorHAnsi" w:hAnsiTheme="minorHAnsi"/>
        </w:rPr>
        <w:t xml:space="preserve">Childs, R. A., Ferguson, A. K., Herbert, M. B., Broad, K., &amp; Zhang, J. (2016). Evaluating admission criteria effects for under-represented groups. </w:t>
      </w:r>
      <w:r w:rsidRPr="00D94C30">
        <w:rPr>
          <w:rFonts w:asciiTheme="minorHAnsi" w:hAnsiTheme="minorHAnsi"/>
          <w:i/>
        </w:rPr>
        <w:t>Higher Education Research &amp; Development</w:t>
      </w:r>
      <w:r w:rsidRPr="00D94C30">
        <w:rPr>
          <w:rFonts w:asciiTheme="minorHAnsi" w:hAnsiTheme="minorHAnsi"/>
        </w:rPr>
        <w:t>, 1-11.</w:t>
      </w:r>
    </w:p>
    <w:p w14:paraId="33777EE3" w14:textId="77777777" w:rsidR="002C6233" w:rsidRPr="00C509FA" w:rsidRDefault="002C6233" w:rsidP="002C6233">
      <w:pPr>
        <w:pStyle w:val="NoSpacing"/>
        <w:spacing w:line="480" w:lineRule="auto"/>
        <w:ind w:left="720" w:hanging="720"/>
        <w:rPr>
          <w:rFonts w:asciiTheme="minorHAnsi" w:hAnsiTheme="minorHAnsi"/>
        </w:rPr>
      </w:pPr>
      <w:r w:rsidRPr="00C509FA">
        <w:rPr>
          <w:rFonts w:asciiTheme="minorHAnsi" w:hAnsiTheme="minorHAnsi"/>
        </w:rPr>
        <w:t xml:space="preserve">Cochran-Smith, M., &amp; </w:t>
      </w:r>
      <w:proofErr w:type="spellStart"/>
      <w:r w:rsidRPr="00C509FA">
        <w:rPr>
          <w:rFonts w:asciiTheme="minorHAnsi" w:hAnsiTheme="minorHAnsi"/>
        </w:rPr>
        <w:t>Zeichner</w:t>
      </w:r>
      <w:proofErr w:type="spellEnd"/>
      <w:r w:rsidRPr="00C509FA">
        <w:rPr>
          <w:rFonts w:asciiTheme="minorHAnsi" w:hAnsiTheme="minorHAnsi"/>
        </w:rPr>
        <w:t xml:space="preserve">, K. M. (Eds.). (2005). </w:t>
      </w:r>
      <w:r w:rsidRPr="00C509FA">
        <w:rPr>
          <w:rFonts w:asciiTheme="minorHAnsi" w:hAnsiTheme="minorHAnsi"/>
          <w:i/>
          <w:iCs/>
        </w:rPr>
        <w:t>Studying teacher education: The report of the AERA panel on research and teacher education</w:t>
      </w:r>
      <w:r w:rsidRPr="00C509FA">
        <w:rPr>
          <w:rFonts w:asciiTheme="minorHAnsi" w:hAnsiTheme="minorHAnsi"/>
        </w:rPr>
        <w:t xml:space="preserve">. </w:t>
      </w:r>
      <w:smartTag w:uri="urn:schemas-microsoft-com:office:smarttags" w:element="City">
        <w:r w:rsidRPr="00C509FA">
          <w:rPr>
            <w:rFonts w:asciiTheme="minorHAnsi" w:hAnsiTheme="minorHAnsi"/>
          </w:rPr>
          <w:t>Mahwah</w:t>
        </w:r>
      </w:smartTag>
      <w:r w:rsidRPr="00C509FA">
        <w:rPr>
          <w:rFonts w:asciiTheme="minorHAnsi" w:hAnsiTheme="minorHAnsi"/>
        </w:rPr>
        <w:t xml:space="preserve">, </w:t>
      </w:r>
      <w:smartTag w:uri="urn:schemas-microsoft-com:office:smarttags" w:element="State">
        <w:r w:rsidRPr="00C509FA">
          <w:rPr>
            <w:rFonts w:asciiTheme="minorHAnsi" w:hAnsiTheme="minorHAnsi"/>
          </w:rPr>
          <w:t>NJ</w:t>
        </w:r>
      </w:smartTag>
      <w:r w:rsidRPr="00C509FA">
        <w:rPr>
          <w:rFonts w:asciiTheme="minorHAnsi" w:hAnsiTheme="minorHAnsi"/>
        </w:rPr>
        <w:t xml:space="preserve">: </w:t>
      </w:r>
      <w:smartTag w:uri="urn:schemas-microsoft-com:office:smarttags" w:element="place">
        <w:smartTag w:uri="urn:schemas-microsoft-com:office:smarttags" w:element="City">
          <w:r w:rsidRPr="00C509FA">
            <w:rPr>
              <w:rFonts w:asciiTheme="minorHAnsi" w:hAnsiTheme="minorHAnsi"/>
            </w:rPr>
            <w:t>Lawrence</w:t>
          </w:r>
        </w:smartTag>
      </w:smartTag>
      <w:r w:rsidRPr="00C509FA">
        <w:rPr>
          <w:rFonts w:asciiTheme="minorHAnsi" w:hAnsiTheme="minorHAnsi"/>
        </w:rPr>
        <w:t xml:space="preserve"> Erlbaum.</w:t>
      </w:r>
    </w:p>
    <w:p w14:paraId="6218FF3D" w14:textId="77777777" w:rsidR="00287949" w:rsidRDefault="00287949" w:rsidP="0074138F">
      <w:pPr>
        <w:pStyle w:val="NoSpacing"/>
        <w:spacing w:line="480" w:lineRule="auto"/>
        <w:ind w:left="720" w:hanging="720"/>
        <w:rPr>
          <w:rFonts w:asciiTheme="minorHAnsi" w:hAnsiTheme="minorHAnsi"/>
        </w:rPr>
      </w:pPr>
      <w:r>
        <w:rPr>
          <w:rFonts w:asciiTheme="minorHAnsi" w:hAnsiTheme="minorHAnsi"/>
        </w:rPr>
        <w:t xml:space="preserve">Cortes, K. E. (2010). Do bans on affirmative action hurt minority students? Evidence from the Texas top 10% plan. </w:t>
      </w:r>
      <w:r>
        <w:rPr>
          <w:rFonts w:asciiTheme="minorHAnsi" w:hAnsiTheme="minorHAnsi"/>
          <w:i/>
        </w:rPr>
        <w:t>Economics of Education Review, 29</w:t>
      </w:r>
      <w:r>
        <w:rPr>
          <w:rFonts w:asciiTheme="minorHAnsi" w:hAnsiTheme="minorHAnsi"/>
        </w:rPr>
        <w:t>, 1110–1124.</w:t>
      </w:r>
    </w:p>
    <w:p w14:paraId="7404C3C3" w14:textId="77777777" w:rsidR="004F6373" w:rsidRDefault="004F6373" w:rsidP="0074138F">
      <w:pPr>
        <w:pStyle w:val="NoSpacing"/>
        <w:spacing w:line="480" w:lineRule="auto"/>
        <w:ind w:left="720" w:hanging="720"/>
        <w:rPr>
          <w:rFonts w:asciiTheme="minorHAnsi" w:hAnsiTheme="minorHAnsi"/>
        </w:rPr>
      </w:pPr>
      <w:r w:rsidRPr="00EA531D">
        <w:rPr>
          <w:rFonts w:asciiTheme="minorHAnsi" w:hAnsiTheme="minorHAnsi"/>
        </w:rPr>
        <w:t xml:space="preserve">Cottrell, M., </w:t>
      </w:r>
      <w:proofErr w:type="spellStart"/>
      <w:r w:rsidRPr="00EA531D">
        <w:rPr>
          <w:rFonts w:asciiTheme="minorHAnsi" w:hAnsiTheme="minorHAnsi"/>
        </w:rPr>
        <w:t>Prytula</w:t>
      </w:r>
      <w:proofErr w:type="spellEnd"/>
      <w:r w:rsidRPr="00EA531D">
        <w:rPr>
          <w:rFonts w:asciiTheme="minorHAnsi" w:hAnsiTheme="minorHAnsi"/>
        </w:rPr>
        <w:t xml:space="preserve">, M., &amp; </w:t>
      </w:r>
      <w:proofErr w:type="spellStart"/>
      <w:r w:rsidRPr="00EA531D">
        <w:rPr>
          <w:rFonts w:asciiTheme="minorHAnsi" w:hAnsiTheme="minorHAnsi"/>
        </w:rPr>
        <w:t>Orlowski</w:t>
      </w:r>
      <w:proofErr w:type="spellEnd"/>
      <w:r w:rsidRPr="00EA531D">
        <w:rPr>
          <w:rFonts w:asciiTheme="minorHAnsi" w:hAnsiTheme="minorHAnsi"/>
        </w:rPr>
        <w:t xml:space="preserve">, P. (2015). A longitudinal study of admissions to the Undergraduate College of Education, University of Saskatchewan, Canada. In V. Stead (Ed.), </w:t>
      </w:r>
      <w:r w:rsidRPr="00023F23">
        <w:rPr>
          <w:rFonts w:asciiTheme="minorHAnsi" w:hAnsiTheme="minorHAnsi"/>
          <w:i/>
        </w:rPr>
        <w:t>International perspectives on higher education admission policy: A reader</w:t>
      </w:r>
      <w:r w:rsidRPr="00EA531D">
        <w:rPr>
          <w:rFonts w:asciiTheme="minorHAnsi" w:hAnsiTheme="minorHAnsi"/>
        </w:rPr>
        <w:t xml:space="preserve"> (pp. 181-189). New York, NY: Peter Lang.</w:t>
      </w:r>
    </w:p>
    <w:p w14:paraId="75D712A9" w14:textId="77777777" w:rsidR="00AD7B58" w:rsidRDefault="004F6373" w:rsidP="0074138F">
      <w:pPr>
        <w:pStyle w:val="NoSpacing"/>
        <w:spacing w:line="480" w:lineRule="auto"/>
        <w:ind w:left="720" w:hanging="720"/>
        <w:rPr>
          <w:rFonts w:ascii="Calibri" w:hAnsi="Calibri"/>
          <w:bCs/>
          <w:lang w:val="en-CA"/>
        </w:rPr>
      </w:pPr>
      <w:r w:rsidRPr="00393AEE">
        <w:rPr>
          <w:rFonts w:ascii="Calibri" w:hAnsi="Calibri"/>
          <w:bCs/>
          <w:lang w:val="en-CA"/>
        </w:rPr>
        <w:t xml:space="preserve">Crocker, R. &amp; </w:t>
      </w:r>
      <w:proofErr w:type="spellStart"/>
      <w:r w:rsidRPr="00393AEE">
        <w:rPr>
          <w:rFonts w:ascii="Calibri" w:hAnsi="Calibri"/>
          <w:bCs/>
          <w:lang w:val="en-CA"/>
        </w:rPr>
        <w:t>Dibbon</w:t>
      </w:r>
      <w:proofErr w:type="spellEnd"/>
      <w:r w:rsidRPr="00393AEE">
        <w:rPr>
          <w:rFonts w:ascii="Calibri" w:hAnsi="Calibri"/>
          <w:bCs/>
          <w:lang w:val="en-CA"/>
        </w:rPr>
        <w:t xml:space="preserve">, D. (2008). Teacher education in Canada: A baseline study. H. </w:t>
      </w:r>
      <w:proofErr w:type="spellStart"/>
      <w:r w:rsidRPr="00393AEE">
        <w:rPr>
          <w:rFonts w:ascii="Calibri" w:hAnsi="Calibri"/>
          <w:bCs/>
          <w:lang w:val="en-CA"/>
        </w:rPr>
        <w:t>Raham</w:t>
      </w:r>
      <w:proofErr w:type="spellEnd"/>
      <w:r w:rsidRPr="00393AEE">
        <w:rPr>
          <w:rFonts w:ascii="Calibri" w:hAnsi="Calibri"/>
          <w:bCs/>
          <w:lang w:val="en-CA"/>
        </w:rPr>
        <w:t xml:space="preserve"> (Ed.). Kelowna, BC: Society for the Advancement of Excellence in Education. </w:t>
      </w:r>
    </w:p>
    <w:p w14:paraId="56F3E34A" w14:textId="77777777" w:rsidR="00AD7B58" w:rsidRPr="00AD7B58" w:rsidRDefault="00AD7B58" w:rsidP="0074138F">
      <w:pPr>
        <w:pStyle w:val="NoSpacing"/>
        <w:spacing w:line="480" w:lineRule="auto"/>
        <w:ind w:left="720" w:hanging="720"/>
        <w:rPr>
          <w:rFonts w:ascii="Calibri" w:hAnsi="Calibri"/>
          <w:bCs/>
          <w:lang w:val="en-CA"/>
        </w:rPr>
      </w:pPr>
      <w:r>
        <w:rPr>
          <w:rFonts w:ascii="Calibri" w:hAnsi="Calibri"/>
          <w:bCs/>
        </w:rPr>
        <w:lastRenderedPageBreak/>
        <w:t xml:space="preserve">DeLuca, C. (2012). Selecting inclusive teacher candidates; Validity and reliability issues in admission policy and practice. </w:t>
      </w:r>
      <w:r>
        <w:rPr>
          <w:rFonts w:ascii="Calibri" w:hAnsi="Calibri"/>
          <w:bCs/>
          <w:i/>
          <w:iCs/>
        </w:rPr>
        <w:t>Teacher Education Quarterly, 39</w:t>
      </w:r>
      <w:r>
        <w:rPr>
          <w:rFonts w:ascii="Calibri" w:hAnsi="Calibri"/>
          <w:bCs/>
        </w:rPr>
        <w:t>(4), 7-31.</w:t>
      </w:r>
    </w:p>
    <w:p w14:paraId="65637E80" w14:textId="77777777" w:rsidR="008A77E8" w:rsidRDefault="00FE23A2" w:rsidP="0074138F">
      <w:pPr>
        <w:pStyle w:val="NoSpacing"/>
        <w:spacing w:line="480" w:lineRule="auto"/>
        <w:ind w:left="720" w:hanging="720"/>
        <w:rPr>
          <w:rFonts w:asciiTheme="minorHAnsi" w:hAnsiTheme="minorHAnsi"/>
        </w:rPr>
      </w:pPr>
      <w:r w:rsidRPr="00FE23A2">
        <w:rPr>
          <w:rFonts w:asciiTheme="minorHAnsi" w:hAnsiTheme="minorHAnsi"/>
        </w:rPr>
        <w:t xml:space="preserve">DeLuca, C. (2015). Rethinking the evaluation of university admission policy and practice: A Canadian </w:t>
      </w:r>
      <w:proofErr w:type="spellStart"/>
      <w:r w:rsidRPr="00FE23A2">
        <w:rPr>
          <w:rFonts w:asciiTheme="minorHAnsi" w:hAnsiTheme="minorHAnsi"/>
        </w:rPr>
        <w:t>neoinstitutional</w:t>
      </w:r>
      <w:proofErr w:type="spellEnd"/>
      <w:r w:rsidRPr="00FE23A2">
        <w:rPr>
          <w:rFonts w:asciiTheme="minorHAnsi" w:hAnsiTheme="minorHAnsi"/>
        </w:rPr>
        <w:t xml:space="preserve"> perspective. In V. Stead (Ed.), </w:t>
      </w:r>
      <w:r w:rsidRPr="00FE23A2">
        <w:rPr>
          <w:rFonts w:asciiTheme="minorHAnsi" w:hAnsiTheme="minorHAnsi"/>
          <w:i/>
        </w:rPr>
        <w:t>International perspectives on higher education admission policy: A reader</w:t>
      </w:r>
      <w:r w:rsidRPr="00FE23A2">
        <w:rPr>
          <w:rFonts w:asciiTheme="minorHAnsi" w:hAnsiTheme="minorHAnsi"/>
        </w:rPr>
        <w:t xml:space="preserve"> (pp. 268-279). New York, NY: Peter Lang.</w:t>
      </w:r>
    </w:p>
    <w:p w14:paraId="34F8CE91" w14:textId="77777777" w:rsidR="008A77E8" w:rsidRDefault="008A77E8" w:rsidP="0074138F">
      <w:pPr>
        <w:pStyle w:val="NoSpacing"/>
        <w:spacing w:line="480" w:lineRule="auto"/>
        <w:ind w:left="720" w:hanging="720"/>
        <w:rPr>
          <w:rFonts w:asciiTheme="minorHAnsi" w:hAnsiTheme="minorHAnsi"/>
        </w:rPr>
      </w:pPr>
      <w:proofErr w:type="spellStart"/>
      <w:r w:rsidRPr="00B47599">
        <w:rPr>
          <w:rFonts w:asciiTheme="minorHAnsi" w:hAnsiTheme="minorHAnsi"/>
          <w:bCs/>
        </w:rPr>
        <w:t>Falkenberg</w:t>
      </w:r>
      <w:proofErr w:type="spellEnd"/>
      <w:r w:rsidRPr="00B47599">
        <w:rPr>
          <w:rFonts w:asciiTheme="minorHAnsi" w:hAnsiTheme="minorHAnsi"/>
          <w:bCs/>
        </w:rPr>
        <w:t xml:space="preserve">, T. </w:t>
      </w:r>
      <w:r w:rsidRPr="00B47599">
        <w:rPr>
          <w:rFonts w:asciiTheme="minorHAnsi" w:eastAsia="Calibri" w:hAnsiTheme="minorHAnsi"/>
        </w:rPr>
        <w:t xml:space="preserve">(Ed.) (2015). </w:t>
      </w:r>
      <w:r w:rsidRPr="007E7C9F">
        <w:rPr>
          <w:rFonts w:asciiTheme="minorHAnsi" w:hAnsiTheme="minorHAnsi"/>
          <w:i/>
        </w:rPr>
        <w:t>Handbook of Canadian teacher education research: Initial</w:t>
      </w:r>
      <w:r>
        <w:rPr>
          <w:rFonts w:asciiTheme="minorHAnsi" w:hAnsiTheme="minorHAnsi"/>
        </w:rPr>
        <w:t xml:space="preserve"> </w:t>
      </w:r>
      <w:r w:rsidRPr="00B47599">
        <w:rPr>
          <w:rFonts w:asciiTheme="minorHAnsi" w:hAnsiTheme="minorHAnsi"/>
          <w:i/>
        </w:rPr>
        <w:t>teacher education</w:t>
      </w:r>
      <w:r w:rsidRPr="00B47599">
        <w:rPr>
          <w:rFonts w:asciiTheme="minorHAnsi" w:eastAsia="Calibri" w:hAnsiTheme="minorHAnsi"/>
        </w:rPr>
        <w:t>. Ottawa: Canadian Association for Teacher Education.</w:t>
      </w:r>
    </w:p>
    <w:p w14:paraId="0E4107DC" w14:textId="77777777" w:rsidR="008A77E8" w:rsidRPr="008A77E8" w:rsidRDefault="008A77E8" w:rsidP="0074138F">
      <w:pPr>
        <w:pStyle w:val="NoSpacing"/>
        <w:spacing w:line="480" w:lineRule="auto"/>
        <w:ind w:left="720" w:hanging="720"/>
        <w:rPr>
          <w:rFonts w:asciiTheme="minorHAnsi" w:hAnsiTheme="minorHAnsi"/>
        </w:rPr>
      </w:pPr>
      <w:r w:rsidRPr="00E73B31">
        <w:rPr>
          <w:rFonts w:asciiTheme="minorHAnsi" w:hAnsiTheme="minorHAnsi"/>
        </w:rPr>
        <w:t xml:space="preserve">Finnie, R., Childs, S., &amp; </w:t>
      </w:r>
      <w:proofErr w:type="spellStart"/>
      <w:r w:rsidRPr="00E73B31">
        <w:rPr>
          <w:rFonts w:asciiTheme="minorHAnsi" w:hAnsiTheme="minorHAnsi"/>
        </w:rPr>
        <w:t>Wismer</w:t>
      </w:r>
      <w:proofErr w:type="spellEnd"/>
      <w:r w:rsidRPr="00E73B31">
        <w:rPr>
          <w:rFonts w:asciiTheme="minorHAnsi" w:hAnsiTheme="minorHAnsi"/>
        </w:rPr>
        <w:t>, A. (2011</w:t>
      </w:r>
      <w:r>
        <w:rPr>
          <w:rFonts w:asciiTheme="minorHAnsi" w:hAnsiTheme="minorHAnsi"/>
        </w:rPr>
        <w:t>a</w:t>
      </w:r>
      <w:r w:rsidRPr="00E73B31">
        <w:rPr>
          <w:rFonts w:asciiTheme="minorHAnsi" w:hAnsiTheme="minorHAnsi"/>
        </w:rPr>
        <w:t xml:space="preserve">). </w:t>
      </w:r>
      <w:r w:rsidRPr="00E73B31">
        <w:rPr>
          <w:rFonts w:asciiTheme="minorHAnsi" w:hAnsiTheme="minorHAnsi"/>
          <w:i/>
        </w:rPr>
        <w:t>Access to postsecondary education: How Ontario compares</w:t>
      </w:r>
      <w:r w:rsidRPr="00E73B31">
        <w:rPr>
          <w:rFonts w:asciiTheme="minorHAnsi" w:hAnsiTheme="minorHAnsi"/>
        </w:rPr>
        <w:t>. Toronto: Higher Education Quality Council of Ontario.</w:t>
      </w:r>
    </w:p>
    <w:p w14:paraId="6FD72BE8" w14:textId="77777777" w:rsidR="004F6373" w:rsidRDefault="004F6373" w:rsidP="0074138F">
      <w:pPr>
        <w:pStyle w:val="NoSpacing"/>
        <w:spacing w:line="480" w:lineRule="auto"/>
        <w:ind w:left="720" w:hanging="720"/>
        <w:rPr>
          <w:rFonts w:asciiTheme="minorHAnsi" w:hAnsiTheme="minorHAnsi"/>
        </w:rPr>
      </w:pPr>
      <w:r w:rsidRPr="00AF18DE">
        <w:rPr>
          <w:rFonts w:asciiTheme="minorHAnsi" w:hAnsiTheme="minorHAnsi"/>
        </w:rPr>
        <w:t xml:space="preserve">Finnie, R., Childs, S., &amp; </w:t>
      </w:r>
      <w:proofErr w:type="spellStart"/>
      <w:r w:rsidRPr="00AF18DE">
        <w:rPr>
          <w:rFonts w:asciiTheme="minorHAnsi" w:hAnsiTheme="minorHAnsi"/>
        </w:rPr>
        <w:t>Wismer</w:t>
      </w:r>
      <w:proofErr w:type="spellEnd"/>
      <w:r w:rsidRPr="00AF18DE">
        <w:rPr>
          <w:rFonts w:asciiTheme="minorHAnsi" w:hAnsiTheme="minorHAnsi"/>
        </w:rPr>
        <w:t>, A. (2011</w:t>
      </w:r>
      <w:r>
        <w:rPr>
          <w:rFonts w:asciiTheme="minorHAnsi" w:hAnsiTheme="minorHAnsi"/>
        </w:rPr>
        <w:t>b</w:t>
      </w:r>
      <w:r w:rsidRPr="00AF18DE">
        <w:rPr>
          <w:rFonts w:asciiTheme="minorHAnsi" w:hAnsiTheme="minorHAnsi"/>
        </w:rPr>
        <w:t>).</w:t>
      </w:r>
      <w:r w:rsidRPr="00AF18DE">
        <w:rPr>
          <w:rFonts w:asciiTheme="minorHAnsi" w:hAnsiTheme="minorHAnsi"/>
          <w:i/>
        </w:rPr>
        <w:t xml:space="preserve"> Under-represented groups in postsecondary education in Ontario: Evidence from the Youth in Transition Survey</w:t>
      </w:r>
      <w:r w:rsidRPr="00AF18DE">
        <w:rPr>
          <w:rFonts w:asciiTheme="minorHAnsi" w:hAnsiTheme="minorHAnsi"/>
        </w:rPr>
        <w:t>. Toronto: Higher Education Quality Council of Ontario.</w:t>
      </w:r>
    </w:p>
    <w:p w14:paraId="2CBC4AD5" w14:textId="77777777" w:rsidR="008A77E8" w:rsidRDefault="004F6373" w:rsidP="0074138F">
      <w:pPr>
        <w:pStyle w:val="NoSpacing"/>
        <w:spacing w:line="480" w:lineRule="auto"/>
        <w:ind w:left="720" w:hanging="720"/>
        <w:rPr>
          <w:rFonts w:asciiTheme="minorHAnsi" w:hAnsiTheme="minorHAnsi"/>
        </w:rPr>
      </w:pPr>
      <w:r w:rsidRPr="005F0C06">
        <w:rPr>
          <w:rFonts w:asciiTheme="minorHAnsi" w:hAnsiTheme="minorHAnsi"/>
        </w:rPr>
        <w:t xml:space="preserve">Finnie, R., </w:t>
      </w:r>
      <w:proofErr w:type="spellStart"/>
      <w:r w:rsidRPr="005F0C06">
        <w:rPr>
          <w:rFonts w:asciiTheme="minorHAnsi" w:hAnsiTheme="minorHAnsi"/>
        </w:rPr>
        <w:t>Wismer</w:t>
      </w:r>
      <w:proofErr w:type="spellEnd"/>
      <w:r w:rsidRPr="005F0C06">
        <w:rPr>
          <w:rFonts w:asciiTheme="minorHAnsi" w:hAnsiTheme="minorHAnsi"/>
        </w:rPr>
        <w:t xml:space="preserve">, A., &amp; Mueller, R. E. (2015). Access and barriers to postsecondary education: Evidence from the youth in transition survey. </w:t>
      </w:r>
      <w:r w:rsidRPr="005F0C06">
        <w:rPr>
          <w:rFonts w:asciiTheme="minorHAnsi" w:hAnsiTheme="minorHAnsi"/>
          <w:i/>
        </w:rPr>
        <w:t>Canadian Journal of Higher Education, 45</w:t>
      </w:r>
      <w:r w:rsidRPr="005F0C06">
        <w:rPr>
          <w:rFonts w:asciiTheme="minorHAnsi" w:hAnsiTheme="minorHAnsi"/>
        </w:rPr>
        <w:t>(2), 229-262.</w:t>
      </w:r>
    </w:p>
    <w:p w14:paraId="7A18EAD5" w14:textId="77777777" w:rsidR="002C6233" w:rsidRPr="00FC45D9" w:rsidRDefault="002C6233" w:rsidP="002C6233">
      <w:pPr>
        <w:pStyle w:val="NoSpacing"/>
        <w:spacing w:line="480" w:lineRule="auto"/>
        <w:ind w:left="720" w:hanging="720"/>
        <w:rPr>
          <w:rFonts w:asciiTheme="minorHAnsi" w:hAnsiTheme="minorHAnsi"/>
          <w:bCs/>
        </w:rPr>
      </w:pPr>
      <w:r w:rsidRPr="00FC45D9">
        <w:rPr>
          <w:rFonts w:asciiTheme="minorHAnsi" w:hAnsiTheme="minorHAnsi"/>
        </w:rPr>
        <w:t xml:space="preserve">Goodwin, A. L., &amp; </w:t>
      </w:r>
      <w:proofErr w:type="spellStart"/>
      <w:r w:rsidRPr="00FC45D9">
        <w:rPr>
          <w:rFonts w:asciiTheme="minorHAnsi" w:hAnsiTheme="minorHAnsi"/>
        </w:rPr>
        <w:t>Oyler</w:t>
      </w:r>
      <w:proofErr w:type="spellEnd"/>
      <w:r w:rsidRPr="00FC45D9">
        <w:rPr>
          <w:rFonts w:asciiTheme="minorHAnsi" w:hAnsiTheme="minorHAnsi"/>
        </w:rPr>
        <w:t xml:space="preserve">, C. (2008). Teacher educators as gatekeepers: Deciding who is ready to teach. In M. Cochran-Smith, S. </w:t>
      </w:r>
      <w:proofErr w:type="spellStart"/>
      <w:r w:rsidRPr="00FC45D9">
        <w:rPr>
          <w:rFonts w:asciiTheme="minorHAnsi" w:hAnsiTheme="minorHAnsi"/>
        </w:rPr>
        <w:t>Feiman-Nemser</w:t>
      </w:r>
      <w:proofErr w:type="spellEnd"/>
      <w:r w:rsidRPr="00FC45D9">
        <w:rPr>
          <w:rFonts w:asciiTheme="minorHAnsi" w:hAnsiTheme="minorHAnsi"/>
        </w:rPr>
        <w:t xml:space="preserve">, &amp; D. J. McIntyre (Eds.), </w:t>
      </w:r>
      <w:r w:rsidRPr="00FC45D9">
        <w:rPr>
          <w:rFonts w:asciiTheme="minorHAnsi" w:hAnsiTheme="minorHAnsi"/>
          <w:i/>
          <w:iCs/>
        </w:rPr>
        <w:t>Handbook of research on teacher education: Enduring questions in changing contexts</w:t>
      </w:r>
      <w:r w:rsidRPr="00FC45D9">
        <w:rPr>
          <w:rFonts w:asciiTheme="minorHAnsi" w:hAnsiTheme="minorHAnsi"/>
        </w:rPr>
        <w:t xml:space="preserve"> (3</w:t>
      </w:r>
      <w:r w:rsidRPr="00FC45D9">
        <w:rPr>
          <w:rFonts w:asciiTheme="minorHAnsi" w:hAnsiTheme="minorHAnsi"/>
          <w:vertAlign w:val="superscript"/>
        </w:rPr>
        <w:t>rd</w:t>
      </w:r>
      <w:r w:rsidRPr="00FC45D9">
        <w:rPr>
          <w:rFonts w:asciiTheme="minorHAnsi" w:hAnsiTheme="minorHAnsi"/>
        </w:rPr>
        <w:t xml:space="preserve"> ed.; pp. 468-489). </w:t>
      </w:r>
      <w:smartTag w:uri="urn:schemas-microsoft-com:office:smarttags" w:element="place">
        <w:smartTag w:uri="urn:schemas-microsoft-com:office:smarttags" w:element="City">
          <w:r w:rsidRPr="00FC45D9">
            <w:rPr>
              <w:rFonts w:asciiTheme="minorHAnsi" w:hAnsiTheme="minorHAnsi"/>
            </w:rPr>
            <w:t>New York</w:t>
          </w:r>
        </w:smartTag>
        <w:r w:rsidRPr="00FC45D9">
          <w:rPr>
            <w:rFonts w:asciiTheme="minorHAnsi" w:hAnsiTheme="minorHAnsi"/>
          </w:rPr>
          <w:t xml:space="preserve">, </w:t>
        </w:r>
        <w:smartTag w:uri="urn:schemas-microsoft-com:office:smarttags" w:element="State">
          <w:r w:rsidRPr="00FC45D9">
            <w:rPr>
              <w:rFonts w:asciiTheme="minorHAnsi" w:hAnsiTheme="minorHAnsi"/>
            </w:rPr>
            <w:t>NY</w:t>
          </w:r>
        </w:smartTag>
      </w:smartTag>
      <w:r w:rsidRPr="00FC45D9">
        <w:rPr>
          <w:rFonts w:asciiTheme="minorHAnsi" w:hAnsiTheme="minorHAnsi"/>
        </w:rPr>
        <w:t xml:space="preserve">: Routledge. </w:t>
      </w:r>
    </w:p>
    <w:p w14:paraId="7E7455C4" w14:textId="28A724A8" w:rsidR="002C6233" w:rsidRDefault="002C6233" w:rsidP="0074138F">
      <w:pPr>
        <w:pStyle w:val="NoSpacing"/>
        <w:spacing w:line="480" w:lineRule="auto"/>
        <w:ind w:left="720" w:hanging="720"/>
        <w:rPr>
          <w:rFonts w:asciiTheme="minorHAnsi" w:hAnsiTheme="minorHAnsi"/>
        </w:rPr>
      </w:pPr>
      <w:r>
        <w:rPr>
          <w:rFonts w:asciiTheme="minorHAnsi" w:hAnsiTheme="minorHAnsi"/>
        </w:rPr>
        <w:t xml:space="preserve">Government of Canada. (2017). Equity, diversity, and inclusion: Best practices for recruitment, hiring, and retention. Retrieved from </w:t>
      </w:r>
      <w:hyperlink r:id="rId10" w:history="1">
        <w:r w:rsidRPr="006D7832">
          <w:rPr>
            <w:rStyle w:val="Hyperlink"/>
            <w:rFonts w:asciiTheme="minorHAnsi" w:hAnsiTheme="minorHAnsi"/>
          </w:rPr>
          <w:t>http://www.chairs-chaires.gc.ca/program-programme/equity-equite/best_practices-pratiques_examplaires-eng.aspx</w:t>
        </w:r>
      </w:hyperlink>
      <w:r>
        <w:rPr>
          <w:rFonts w:asciiTheme="minorHAnsi" w:hAnsiTheme="minorHAnsi"/>
        </w:rPr>
        <w:t xml:space="preserve"> </w:t>
      </w:r>
    </w:p>
    <w:p w14:paraId="4E8FA86B" w14:textId="28F5F2E7" w:rsidR="008A77E8" w:rsidRPr="00052E1B" w:rsidRDefault="008A77E8" w:rsidP="0074138F">
      <w:pPr>
        <w:pStyle w:val="NoSpacing"/>
        <w:spacing w:line="480" w:lineRule="auto"/>
        <w:ind w:left="720" w:hanging="720"/>
        <w:rPr>
          <w:rFonts w:asciiTheme="minorHAnsi" w:hAnsiTheme="minorHAnsi"/>
        </w:rPr>
      </w:pPr>
      <w:proofErr w:type="spellStart"/>
      <w:r w:rsidRPr="00052E1B">
        <w:rPr>
          <w:rFonts w:asciiTheme="minorHAnsi" w:hAnsiTheme="minorHAnsi"/>
        </w:rPr>
        <w:lastRenderedPageBreak/>
        <w:t>Guinier</w:t>
      </w:r>
      <w:proofErr w:type="spellEnd"/>
      <w:r w:rsidRPr="00052E1B">
        <w:rPr>
          <w:rFonts w:asciiTheme="minorHAnsi" w:hAnsiTheme="minorHAnsi"/>
        </w:rPr>
        <w:t xml:space="preserve">, L. (2003). Admissions rituals as political acts: Guardians at the gates of our democratic ideals. </w:t>
      </w:r>
      <w:r w:rsidRPr="00052E1B">
        <w:rPr>
          <w:rFonts w:asciiTheme="minorHAnsi" w:hAnsiTheme="minorHAnsi"/>
          <w:i/>
          <w:iCs/>
        </w:rPr>
        <w:t>Harvard Law Review, 117</w:t>
      </w:r>
      <w:r w:rsidRPr="00052E1B">
        <w:rPr>
          <w:rFonts w:asciiTheme="minorHAnsi" w:hAnsiTheme="minorHAnsi"/>
        </w:rPr>
        <w:t xml:space="preserve">, 113-225. </w:t>
      </w:r>
    </w:p>
    <w:p w14:paraId="783CDEF1" w14:textId="77777777" w:rsidR="00D221E0" w:rsidRDefault="004F6373" w:rsidP="0074138F">
      <w:pPr>
        <w:pStyle w:val="NoSpacing"/>
        <w:spacing w:line="480" w:lineRule="auto"/>
        <w:ind w:left="720" w:hanging="720"/>
        <w:rPr>
          <w:rFonts w:asciiTheme="minorHAnsi" w:hAnsiTheme="minorHAnsi"/>
        </w:rPr>
      </w:pPr>
      <w:r w:rsidRPr="00097692">
        <w:rPr>
          <w:rFonts w:asciiTheme="minorHAnsi" w:hAnsiTheme="minorHAnsi"/>
        </w:rPr>
        <w:t xml:space="preserve">Harper, S., Patton, L., &amp; Wooden, O. (2009). Access and equity for African American students in higher education: A critical race historical analysis of policy efforts. </w:t>
      </w:r>
      <w:r w:rsidRPr="00EF2FEF">
        <w:rPr>
          <w:rFonts w:asciiTheme="minorHAnsi" w:hAnsiTheme="minorHAnsi"/>
          <w:i/>
        </w:rPr>
        <w:t>The Journal of Higher Education, 80</w:t>
      </w:r>
      <w:r w:rsidRPr="00097692">
        <w:rPr>
          <w:rFonts w:asciiTheme="minorHAnsi" w:hAnsiTheme="minorHAnsi"/>
        </w:rPr>
        <w:t>(4), 389–414.</w:t>
      </w:r>
    </w:p>
    <w:p w14:paraId="52D1BBB5" w14:textId="7F336A11" w:rsidR="006B7792" w:rsidRDefault="006B7792" w:rsidP="0074138F">
      <w:pPr>
        <w:pStyle w:val="NoSpacing"/>
        <w:spacing w:line="480" w:lineRule="auto"/>
        <w:ind w:left="720" w:hanging="720"/>
        <w:rPr>
          <w:rFonts w:asciiTheme="minorHAnsi" w:hAnsiTheme="minorHAnsi"/>
        </w:rPr>
      </w:pPr>
      <w:r w:rsidRPr="00D221E0">
        <w:rPr>
          <w:rFonts w:asciiTheme="minorHAnsi" w:hAnsiTheme="minorHAnsi"/>
        </w:rPr>
        <w:t>Holden, M., &amp; Kitchen, J. (</w:t>
      </w:r>
      <w:r>
        <w:rPr>
          <w:rFonts w:asciiTheme="minorHAnsi" w:hAnsiTheme="minorHAnsi"/>
        </w:rPr>
        <w:t>2017</w:t>
      </w:r>
      <w:r w:rsidRPr="00D221E0">
        <w:rPr>
          <w:rFonts w:asciiTheme="minorHAnsi" w:hAnsiTheme="minorHAnsi"/>
        </w:rPr>
        <w:t>). Where are we now? Equitable representation in Ontario teacher education. Toronto, ON: Ministry of Advanced Education and Skills Development.</w:t>
      </w:r>
    </w:p>
    <w:p w14:paraId="7279192A" w14:textId="0A9DF21F" w:rsidR="006B7792" w:rsidRDefault="006B7792" w:rsidP="0074138F">
      <w:pPr>
        <w:pStyle w:val="NoSpacing"/>
        <w:spacing w:line="480" w:lineRule="auto"/>
        <w:ind w:left="720" w:hanging="720"/>
        <w:rPr>
          <w:rFonts w:asciiTheme="minorHAnsi" w:hAnsiTheme="minorHAnsi"/>
        </w:rPr>
      </w:pPr>
      <w:r w:rsidRPr="00963319">
        <w:rPr>
          <w:rFonts w:asciiTheme="minorHAnsi" w:hAnsiTheme="minorHAnsi"/>
        </w:rPr>
        <w:t xml:space="preserve">Holden, M., &amp; Kitchen, J. (2016). Evolving practices: Admissions policies in Ontario teacher education programs. </w:t>
      </w:r>
      <w:r w:rsidRPr="00963319">
        <w:rPr>
          <w:rFonts w:asciiTheme="minorHAnsi" w:hAnsiTheme="minorHAnsi"/>
          <w:i/>
        </w:rPr>
        <w:t>Canadian Journal of Education, 39</w:t>
      </w:r>
      <w:r w:rsidRPr="00963319">
        <w:rPr>
          <w:rFonts w:asciiTheme="minorHAnsi" w:hAnsiTheme="minorHAnsi"/>
        </w:rPr>
        <w:t>(4), 1-28.</w:t>
      </w:r>
    </w:p>
    <w:p w14:paraId="685E4AE7" w14:textId="046C703D" w:rsidR="006B7792" w:rsidRDefault="006B7792" w:rsidP="0074138F">
      <w:pPr>
        <w:pStyle w:val="NoSpacing"/>
        <w:spacing w:line="480" w:lineRule="auto"/>
        <w:ind w:left="720" w:hanging="720"/>
        <w:rPr>
          <w:rFonts w:asciiTheme="minorHAnsi" w:hAnsiTheme="minorHAnsi"/>
        </w:rPr>
      </w:pPr>
      <w:r w:rsidRPr="00A25449">
        <w:rPr>
          <w:rFonts w:asciiTheme="minorHAnsi" w:hAnsiTheme="minorHAnsi"/>
        </w:rPr>
        <w:t xml:space="preserve">Holden, M., Kitchen, J., Petrarca, D., &amp; LeSage, A. (2016). Evolving practices: Admissions policies in Ontario teacher education programs. St. </w:t>
      </w:r>
      <w:proofErr w:type="spellStart"/>
      <w:r w:rsidRPr="00A25449">
        <w:rPr>
          <w:rFonts w:asciiTheme="minorHAnsi" w:hAnsiTheme="minorHAnsi"/>
        </w:rPr>
        <w:t>Catharines</w:t>
      </w:r>
      <w:proofErr w:type="spellEnd"/>
      <w:r w:rsidRPr="00A25449">
        <w:rPr>
          <w:rFonts w:asciiTheme="minorHAnsi" w:hAnsiTheme="minorHAnsi"/>
        </w:rPr>
        <w:t>, ON: Brock University.</w:t>
      </w:r>
    </w:p>
    <w:p w14:paraId="5241CE18" w14:textId="02BE8939" w:rsidR="00F30F7D" w:rsidRDefault="00287949" w:rsidP="0074138F">
      <w:pPr>
        <w:pStyle w:val="NoSpacing"/>
        <w:spacing w:line="480" w:lineRule="auto"/>
        <w:ind w:left="720" w:hanging="720"/>
        <w:rPr>
          <w:rFonts w:asciiTheme="minorHAnsi" w:hAnsiTheme="minorHAnsi"/>
        </w:rPr>
      </w:pPr>
      <w:r w:rsidRPr="00F83E75">
        <w:rPr>
          <w:rFonts w:asciiTheme="minorHAnsi" w:hAnsiTheme="minorHAnsi"/>
        </w:rPr>
        <w:t>Holmes, D. (2005). Embracing differences: Post-secondary education among Aboriginal students, students with children and students with disabilities. Montreal, Quebec: Canada Millennium Scholarship Foundation.</w:t>
      </w:r>
    </w:p>
    <w:p w14:paraId="6285D587" w14:textId="77777777" w:rsidR="006B7792" w:rsidRDefault="006B7792" w:rsidP="0074138F">
      <w:pPr>
        <w:pStyle w:val="NoSpacing"/>
        <w:spacing w:line="480" w:lineRule="auto"/>
        <w:ind w:left="720" w:hanging="720"/>
        <w:rPr>
          <w:rFonts w:asciiTheme="minorHAnsi" w:hAnsiTheme="minorHAnsi"/>
          <w:iCs/>
          <w:color w:val="000000"/>
        </w:rPr>
      </w:pPr>
      <w:r w:rsidRPr="00B47599">
        <w:rPr>
          <w:rFonts w:asciiTheme="minorHAnsi" w:eastAsia="Calibri" w:hAnsiTheme="minorHAnsi"/>
        </w:rPr>
        <w:t>Kitchen, J.</w:t>
      </w:r>
      <w:r>
        <w:rPr>
          <w:rFonts w:asciiTheme="minorHAnsi" w:eastAsia="Calibri" w:hAnsiTheme="minorHAnsi"/>
        </w:rPr>
        <w:t>,</w:t>
      </w:r>
      <w:r w:rsidRPr="00B47599">
        <w:rPr>
          <w:rFonts w:asciiTheme="minorHAnsi" w:eastAsia="Calibri" w:hAnsiTheme="minorHAnsi"/>
        </w:rPr>
        <w:t xml:space="preserve"> &amp; Petrarca, D. (2016). Approaches to teacher education. In J. Loughran and M. L. Hamilton (Eds.). </w:t>
      </w:r>
      <w:r w:rsidRPr="001E4DD1">
        <w:rPr>
          <w:rFonts w:asciiTheme="minorHAnsi" w:hAnsiTheme="minorHAnsi"/>
          <w:i/>
        </w:rPr>
        <w:t>International handbook of teacher education research: Initial teacher education</w:t>
      </w:r>
      <w:r w:rsidRPr="00B47599">
        <w:rPr>
          <w:rFonts w:asciiTheme="minorHAnsi" w:eastAsia="Calibri" w:hAnsiTheme="minorHAnsi"/>
        </w:rPr>
        <w:t xml:space="preserve">. </w:t>
      </w:r>
      <w:r w:rsidRPr="00B47599">
        <w:rPr>
          <w:rFonts w:asciiTheme="minorHAnsi" w:hAnsiTheme="minorHAnsi"/>
          <w:iCs/>
          <w:color w:val="000000"/>
        </w:rPr>
        <w:t>Rotterdam, The Netherlands: Springer</w:t>
      </w:r>
    </w:p>
    <w:p w14:paraId="62A306C7" w14:textId="053F2547" w:rsidR="006B7792" w:rsidRDefault="006B7792" w:rsidP="0074138F">
      <w:pPr>
        <w:pStyle w:val="NoSpacing"/>
        <w:spacing w:line="480" w:lineRule="auto"/>
        <w:ind w:left="720" w:hanging="720"/>
        <w:rPr>
          <w:rFonts w:asciiTheme="minorHAnsi" w:hAnsiTheme="minorHAnsi"/>
        </w:rPr>
      </w:pPr>
      <w:r w:rsidRPr="00B47599">
        <w:rPr>
          <w:rFonts w:asciiTheme="minorHAnsi" w:eastAsia="Calibri" w:hAnsiTheme="minorHAnsi" w:cstheme="minorHAnsi"/>
        </w:rPr>
        <w:t>Kitchen, J.</w:t>
      </w:r>
      <w:r>
        <w:rPr>
          <w:rFonts w:asciiTheme="minorHAnsi" w:eastAsia="Calibri" w:hAnsiTheme="minorHAnsi" w:cstheme="minorHAnsi"/>
        </w:rPr>
        <w:t>,</w:t>
      </w:r>
      <w:r w:rsidRPr="00B47599">
        <w:rPr>
          <w:rFonts w:asciiTheme="minorHAnsi" w:eastAsia="Calibri" w:hAnsiTheme="minorHAnsi" w:cstheme="minorHAnsi"/>
        </w:rPr>
        <w:t xml:space="preserve"> &amp; Petrarca, D. (2015). Teacher education in Ontario: On the cusp of change. In </w:t>
      </w:r>
      <w:r w:rsidRPr="00B47599">
        <w:rPr>
          <w:rFonts w:asciiTheme="minorHAnsi" w:eastAsia="Calibri" w:hAnsiTheme="minorHAnsi"/>
        </w:rPr>
        <w:t>T</w:t>
      </w:r>
      <w:r>
        <w:rPr>
          <w:rFonts w:asciiTheme="minorHAnsi" w:eastAsia="Calibri" w:hAnsiTheme="minorHAnsi"/>
        </w:rPr>
        <w:t>.</w:t>
      </w:r>
      <w:r w:rsidRPr="00B47599">
        <w:rPr>
          <w:rFonts w:asciiTheme="minorHAnsi" w:eastAsia="Calibri" w:hAnsiTheme="minorHAnsi"/>
        </w:rPr>
        <w:t xml:space="preserve"> </w:t>
      </w:r>
      <w:proofErr w:type="spellStart"/>
      <w:r w:rsidRPr="00B47599">
        <w:rPr>
          <w:rFonts w:asciiTheme="minorHAnsi" w:eastAsia="Calibri" w:hAnsiTheme="minorHAnsi"/>
        </w:rPr>
        <w:t>Falkenberg</w:t>
      </w:r>
      <w:proofErr w:type="spellEnd"/>
      <w:r w:rsidRPr="00B47599">
        <w:rPr>
          <w:rFonts w:asciiTheme="minorHAnsi" w:eastAsia="Calibri" w:hAnsiTheme="minorHAnsi"/>
        </w:rPr>
        <w:t xml:space="preserve"> (Ed.). </w:t>
      </w:r>
      <w:r w:rsidRPr="00B47599">
        <w:rPr>
          <w:rFonts w:asciiTheme="minorHAnsi" w:hAnsiTheme="minorHAnsi"/>
          <w:i/>
        </w:rPr>
        <w:t xml:space="preserve">Handbook of Canadian teacher education research: Initial teacher education </w:t>
      </w:r>
      <w:r w:rsidRPr="00B47599">
        <w:rPr>
          <w:rFonts w:asciiTheme="minorHAnsi" w:hAnsiTheme="minorHAnsi"/>
        </w:rPr>
        <w:t>(pp.</w:t>
      </w:r>
      <w:r>
        <w:rPr>
          <w:rFonts w:asciiTheme="minorHAnsi" w:hAnsiTheme="minorHAnsi"/>
        </w:rPr>
        <w:t xml:space="preserve"> </w:t>
      </w:r>
      <w:r w:rsidRPr="00B47599">
        <w:rPr>
          <w:rFonts w:asciiTheme="minorHAnsi" w:hAnsiTheme="minorHAnsi"/>
        </w:rPr>
        <w:t>62-76)</w:t>
      </w:r>
      <w:r w:rsidRPr="00B47599">
        <w:rPr>
          <w:rFonts w:asciiTheme="minorHAnsi" w:eastAsia="Calibri" w:hAnsiTheme="minorHAnsi"/>
        </w:rPr>
        <w:t>. Ottawa: Canadian Association for Teacher Education.</w:t>
      </w:r>
    </w:p>
    <w:p w14:paraId="418C4303" w14:textId="77777777" w:rsidR="00F30F7D" w:rsidRDefault="004F6373" w:rsidP="0074138F">
      <w:pPr>
        <w:pStyle w:val="NoSpacing"/>
        <w:spacing w:line="480" w:lineRule="auto"/>
        <w:ind w:left="720" w:hanging="720"/>
        <w:rPr>
          <w:rFonts w:asciiTheme="minorHAnsi" w:hAnsiTheme="minorHAnsi"/>
        </w:rPr>
      </w:pPr>
      <w:proofErr w:type="spellStart"/>
      <w:r w:rsidRPr="00392869">
        <w:rPr>
          <w:rFonts w:asciiTheme="minorHAnsi" w:hAnsiTheme="minorHAnsi"/>
        </w:rPr>
        <w:lastRenderedPageBreak/>
        <w:t>Kotzee</w:t>
      </w:r>
      <w:proofErr w:type="spellEnd"/>
      <w:r w:rsidRPr="00392869">
        <w:rPr>
          <w:rFonts w:asciiTheme="minorHAnsi" w:hAnsiTheme="minorHAnsi"/>
        </w:rPr>
        <w:t xml:space="preserve">, B., &amp; Martin, C., (2013). Who should go to university? Justice in university admissions. </w:t>
      </w:r>
      <w:r w:rsidRPr="00392869">
        <w:rPr>
          <w:rFonts w:asciiTheme="minorHAnsi" w:hAnsiTheme="minorHAnsi"/>
          <w:i/>
          <w:iCs/>
        </w:rPr>
        <w:t>Journal of Philosophy of Education, 47</w:t>
      </w:r>
      <w:r w:rsidRPr="00392869">
        <w:rPr>
          <w:rFonts w:asciiTheme="minorHAnsi" w:hAnsiTheme="minorHAnsi"/>
        </w:rPr>
        <w:t xml:space="preserve">(4), 623-641. </w:t>
      </w:r>
    </w:p>
    <w:p w14:paraId="2F8390D9" w14:textId="479B5E38" w:rsidR="002C6233" w:rsidRDefault="002C6233" w:rsidP="0074138F">
      <w:pPr>
        <w:pStyle w:val="NoSpacing"/>
        <w:spacing w:line="480" w:lineRule="auto"/>
        <w:ind w:left="720" w:hanging="720"/>
        <w:rPr>
          <w:rFonts w:asciiTheme="minorHAnsi" w:hAnsiTheme="minorHAnsi"/>
        </w:rPr>
      </w:pPr>
      <w:proofErr w:type="spellStart"/>
      <w:r>
        <w:rPr>
          <w:rFonts w:asciiTheme="minorHAnsi" w:hAnsiTheme="minorHAnsi"/>
        </w:rPr>
        <w:t>Lemisko</w:t>
      </w:r>
      <w:proofErr w:type="spellEnd"/>
      <w:r>
        <w:rPr>
          <w:rFonts w:asciiTheme="minorHAnsi" w:hAnsiTheme="minorHAnsi"/>
        </w:rPr>
        <w:t xml:space="preserve">, L., &amp; </w:t>
      </w:r>
      <w:proofErr w:type="spellStart"/>
      <w:r>
        <w:rPr>
          <w:rFonts w:asciiTheme="minorHAnsi" w:hAnsiTheme="minorHAnsi"/>
        </w:rPr>
        <w:t>Hellsten</w:t>
      </w:r>
      <w:proofErr w:type="spellEnd"/>
      <w:r>
        <w:rPr>
          <w:rFonts w:asciiTheme="minorHAnsi" w:hAnsiTheme="minorHAnsi"/>
        </w:rPr>
        <w:t xml:space="preserve">, L. (in press). Challenges and barriers to fostering teacher diversity: Implications for teacher education. </w:t>
      </w:r>
      <w:r w:rsidR="00B452AB" w:rsidRPr="00393AEE">
        <w:rPr>
          <w:rFonts w:ascii="Calibri" w:hAnsi="Calibri"/>
          <w:bCs/>
        </w:rPr>
        <w:t xml:space="preserve">In </w:t>
      </w:r>
      <w:r w:rsidR="00B452AB">
        <w:rPr>
          <w:rFonts w:ascii="Calibri" w:hAnsi="Calibri"/>
          <w:bCs/>
        </w:rPr>
        <w:t>J</w:t>
      </w:r>
      <w:r w:rsidR="00B452AB" w:rsidRPr="00393AEE">
        <w:rPr>
          <w:rFonts w:ascii="Calibri" w:hAnsi="Calibri"/>
          <w:bCs/>
        </w:rPr>
        <w:t xml:space="preserve">. </w:t>
      </w:r>
      <w:r w:rsidR="00B452AB">
        <w:rPr>
          <w:rFonts w:ascii="Calibri" w:hAnsi="Calibri"/>
          <w:bCs/>
        </w:rPr>
        <w:t>Mueller</w:t>
      </w:r>
      <w:r w:rsidR="00B452AB" w:rsidRPr="00393AEE">
        <w:rPr>
          <w:rFonts w:ascii="Calibri" w:hAnsi="Calibri"/>
          <w:bCs/>
        </w:rPr>
        <w:t>, (Ed</w:t>
      </w:r>
      <w:r w:rsidR="00B452AB">
        <w:rPr>
          <w:rFonts w:ascii="Calibri" w:hAnsi="Calibri"/>
          <w:bCs/>
        </w:rPr>
        <w:t>.</w:t>
      </w:r>
      <w:r w:rsidR="00B452AB" w:rsidRPr="00393AEE">
        <w:rPr>
          <w:rFonts w:ascii="Calibri" w:hAnsi="Calibri"/>
          <w:bCs/>
        </w:rPr>
        <w:t>)</w:t>
      </w:r>
      <w:proofErr w:type="gramStart"/>
      <w:r w:rsidR="00B452AB">
        <w:rPr>
          <w:rFonts w:ascii="Calibri" w:hAnsi="Calibri"/>
          <w:bCs/>
        </w:rPr>
        <w:t xml:space="preserve">. </w:t>
      </w:r>
      <w:proofErr w:type="gramEnd"/>
      <w:r w:rsidR="00B452AB">
        <w:rPr>
          <w:rFonts w:ascii="Calibri" w:hAnsi="Calibri"/>
          <w:bCs/>
          <w:i/>
        </w:rPr>
        <w:t xml:space="preserve">Globalization and Diversity in Education: What Does </w:t>
      </w:r>
      <w:r w:rsidR="009F661D">
        <w:rPr>
          <w:rFonts w:ascii="Calibri" w:hAnsi="Calibri"/>
          <w:bCs/>
          <w:i/>
        </w:rPr>
        <w:t>It</w:t>
      </w:r>
      <w:r w:rsidR="00B452AB">
        <w:rPr>
          <w:rFonts w:ascii="Calibri" w:hAnsi="Calibri"/>
          <w:bCs/>
          <w:i/>
        </w:rPr>
        <w:t xml:space="preserve"> Mean for Canadian Teacher Education?</w:t>
      </w:r>
      <w:r w:rsidR="00B452AB" w:rsidRPr="00393AEE">
        <w:rPr>
          <w:rFonts w:ascii="Calibri" w:hAnsi="Calibri"/>
          <w:bCs/>
          <w:i/>
          <w:iCs/>
        </w:rPr>
        <w:t xml:space="preserve"> </w:t>
      </w:r>
      <w:r w:rsidR="00B452AB" w:rsidRPr="00393AEE">
        <w:rPr>
          <w:rFonts w:ascii="Calibri" w:hAnsi="Calibri"/>
          <w:bCs/>
        </w:rPr>
        <w:t>Ottawa, ON: Canadian Association for Teacher Education.</w:t>
      </w:r>
    </w:p>
    <w:p w14:paraId="3CF3B131" w14:textId="30B87595" w:rsidR="00F30F7D" w:rsidRPr="007B3307" w:rsidRDefault="00F30F7D" w:rsidP="0074138F">
      <w:pPr>
        <w:pStyle w:val="NoSpacing"/>
        <w:spacing w:line="480" w:lineRule="auto"/>
        <w:ind w:left="720" w:hanging="720"/>
        <w:rPr>
          <w:rFonts w:asciiTheme="minorHAnsi" w:hAnsiTheme="minorHAnsi"/>
        </w:rPr>
      </w:pPr>
      <w:r w:rsidRPr="007B3307">
        <w:rPr>
          <w:rFonts w:asciiTheme="minorHAnsi" w:hAnsiTheme="minorHAnsi"/>
        </w:rPr>
        <w:t xml:space="preserve">Long, M. (2015). Is there a workable race-neutral alternative to affirmative action? </w:t>
      </w:r>
      <w:r w:rsidRPr="007B3307">
        <w:rPr>
          <w:rFonts w:asciiTheme="minorHAnsi" w:hAnsiTheme="minorHAnsi"/>
          <w:i/>
        </w:rPr>
        <w:t>Journal of Policy Analysis and Management, 34</w:t>
      </w:r>
      <w:r w:rsidRPr="007B3307">
        <w:rPr>
          <w:rFonts w:asciiTheme="minorHAnsi" w:hAnsiTheme="minorHAnsi"/>
        </w:rPr>
        <w:t>(1), 162–183.</w:t>
      </w:r>
    </w:p>
    <w:p w14:paraId="6BE17C3D" w14:textId="77777777" w:rsidR="004F6373" w:rsidRPr="006E18DC" w:rsidRDefault="004F6373" w:rsidP="0074138F">
      <w:pPr>
        <w:pStyle w:val="ListParagraph"/>
        <w:spacing w:line="480" w:lineRule="auto"/>
        <w:ind w:hanging="720"/>
        <w:rPr>
          <w:rFonts w:ascii="Calibri" w:hAnsi="Calibri"/>
          <w:bCs/>
        </w:rPr>
      </w:pPr>
      <w:r w:rsidRPr="00F205B5">
        <w:rPr>
          <w:rFonts w:asciiTheme="minorHAnsi" w:hAnsiTheme="minorHAnsi"/>
        </w:rPr>
        <w:t>Mendelson, M. (2006). Aboriginal peoples and post-secondary education in Canada. Ottawa: Caledon Institute of Social Policy.</w:t>
      </w:r>
    </w:p>
    <w:p w14:paraId="44682F63" w14:textId="77777777" w:rsidR="00287949" w:rsidRDefault="004F6373" w:rsidP="0074138F">
      <w:pPr>
        <w:pStyle w:val="ListParagraph"/>
        <w:spacing w:line="480" w:lineRule="auto"/>
        <w:ind w:hanging="720"/>
        <w:rPr>
          <w:rFonts w:asciiTheme="minorHAnsi" w:hAnsiTheme="minorHAnsi"/>
        </w:rPr>
      </w:pPr>
      <w:r w:rsidRPr="00B0743F">
        <w:rPr>
          <w:rFonts w:asciiTheme="minorHAnsi" w:hAnsiTheme="minorHAnsi"/>
        </w:rPr>
        <w:t xml:space="preserve">Mertens, D. M. (2015). </w:t>
      </w:r>
      <w:r w:rsidRPr="00236267">
        <w:rPr>
          <w:rFonts w:asciiTheme="minorHAnsi" w:hAnsiTheme="minorHAnsi"/>
          <w:i/>
        </w:rPr>
        <w:t>Research and evaluation in education and psychology: Integrating diversity with quantitative, qualitative, and mixed methods</w:t>
      </w:r>
      <w:r w:rsidRPr="00B0743F">
        <w:rPr>
          <w:rFonts w:asciiTheme="minorHAnsi" w:hAnsiTheme="minorHAnsi"/>
        </w:rPr>
        <w:t xml:space="preserve"> (4th ed.). Thousand Oaks, CA: Sage Publications.</w:t>
      </w:r>
    </w:p>
    <w:p w14:paraId="6BEED349" w14:textId="77777777" w:rsidR="008A77E8" w:rsidRDefault="00287949" w:rsidP="0074138F">
      <w:pPr>
        <w:pStyle w:val="ListParagraph"/>
        <w:spacing w:line="480" w:lineRule="auto"/>
        <w:ind w:hanging="720"/>
        <w:rPr>
          <w:rFonts w:asciiTheme="minorHAnsi" w:hAnsiTheme="minorHAnsi"/>
        </w:rPr>
      </w:pPr>
      <w:r w:rsidRPr="00393AEE">
        <w:rPr>
          <w:rFonts w:ascii="Calibri" w:hAnsi="Calibri"/>
          <w:bCs/>
        </w:rPr>
        <w:t xml:space="preserve">Minister's National Working Group on Education (2002). </w:t>
      </w:r>
      <w:r w:rsidRPr="00393AEE">
        <w:rPr>
          <w:rFonts w:ascii="Calibri" w:hAnsi="Calibri"/>
          <w:bCs/>
          <w:i/>
          <w:iCs/>
        </w:rPr>
        <w:t>Our Children: Keepers of the Sacred Knowledge</w:t>
      </w:r>
      <w:r w:rsidRPr="00393AEE">
        <w:rPr>
          <w:rFonts w:ascii="Calibri" w:hAnsi="Calibri"/>
        </w:rPr>
        <w:t xml:space="preserve">. </w:t>
      </w:r>
      <w:r w:rsidRPr="00393AEE">
        <w:rPr>
          <w:rFonts w:ascii="Calibri" w:hAnsi="Calibri"/>
          <w:bCs/>
        </w:rPr>
        <w:t>Commissioned report by Minister of Indian and Northern Development Canada.</w:t>
      </w:r>
    </w:p>
    <w:p w14:paraId="442C8E0E" w14:textId="77777777" w:rsidR="008A77E8" w:rsidRPr="008A77E8" w:rsidRDefault="008A77E8" w:rsidP="0074138F">
      <w:pPr>
        <w:pStyle w:val="ListParagraph"/>
        <w:spacing w:line="480" w:lineRule="auto"/>
        <w:ind w:hanging="720"/>
        <w:rPr>
          <w:rFonts w:asciiTheme="minorHAnsi" w:hAnsiTheme="minorHAnsi"/>
        </w:rPr>
      </w:pPr>
      <w:r>
        <w:rPr>
          <w:rFonts w:asciiTheme="minorHAnsi" w:hAnsiTheme="minorHAnsi"/>
        </w:rPr>
        <w:t xml:space="preserve">Niemann, Y. F., &amp; Maruyama, G. (2005). Inequities in higher education: Issues and promising practices in a world ambivalent about affirmative action. </w:t>
      </w:r>
      <w:r>
        <w:rPr>
          <w:rFonts w:asciiTheme="minorHAnsi" w:hAnsiTheme="minorHAnsi"/>
          <w:i/>
        </w:rPr>
        <w:t>Journal of Social Issues, 61</w:t>
      </w:r>
      <w:r>
        <w:rPr>
          <w:rFonts w:asciiTheme="minorHAnsi" w:hAnsiTheme="minorHAnsi"/>
        </w:rPr>
        <w:t>(3), 407–426.</w:t>
      </w:r>
    </w:p>
    <w:p w14:paraId="7C5296B5" w14:textId="77777777" w:rsidR="00AD7B58" w:rsidRPr="00AD7B58" w:rsidRDefault="00AD7B58" w:rsidP="0074138F">
      <w:pPr>
        <w:pStyle w:val="ListParagraph"/>
        <w:spacing w:line="480" w:lineRule="auto"/>
        <w:ind w:hanging="720"/>
        <w:rPr>
          <w:rFonts w:asciiTheme="minorHAnsi" w:hAnsiTheme="minorHAnsi"/>
        </w:rPr>
      </w:pPr>
      <w:r w:rsidRPr="00CE651D">
        <w:rPr>
          <w:rFonts w:ascii="Calibri" w:hAnsi="Calibri"/>
          <w:bCs/>
        </w:rPr>
        <w:t xml:space="preserve">Ogilvie, K. K., &amp; </w:t>
      </w:r>
      <w:proofErr w:type="spellStart"/>
      <w:r w:rsidRPr="00CE651D">
        <w:rPr>
          <w:rFonts w:ascii="Calibri" w:hAnsi="Calibri"/>
          <w:bCs/>
        </w:rPr>
        <w:t>Eggleton</w:t>
      </w:r>
      <w:proofErr w:type="spellEnd"/>
      <w:r w:rsidRPr="00CE651D">
        <w:rPr>
          <w:rFonts w:ascii="Calibri" w:hAnsi="Calibri"/>
          <w:bCs/>
        </w:rPr>
        <w:t>, A. (2011). O</w:t>
      </w:r>
      <w:r w:rsidRPr="00CE651D">
        <w:rPr>
          <w:rFonts w:ascii="Calibri" w:hAnsi="Calibri"/>
          <w:bCs/>
          <w:i/>
        </w:rPr>
        <w:t>pening the Door: Reducing Barriers to Post-Secondary Education in Canada</w:t>
      </w:r>
      <w:r w:rsidRPr="00CE651D">
        <w:rPr>
          <w:rFonts w:ascii="Calibri" w:hAnsi="Calibri"/>
          <w:bCs/>
        </w:rPr>
        <w:t xml:space="preserve">. Ontario, CA: Standing Senate Committee on Social Affairs, Science, and Technology. </w:t>
      </w:r>
    </w:p>
    <w:p w14:paraId="562C1D0B" w14:textId="77777777" w:rsidR="00AD3FA9" w:rsidRPr="00393AEE" w:rsidRDefault="00AD3FA9" w:rsidP="00AD3FA9">
      <w:pPr>
        <w:pStyle w:val="ListParagraph"/>
        <w:spacing w:line="480" w:lineRule="auto"/>
        <w:ind w:hanging="720"/>
        <w:rPr>
          <w:rFonts w:ascii="Calibri" w:hAnsi="Calibri"/>
          <w:bCs/>
        </w:rPr>
      </w:pPr>
      <w:proofErr w:type="spellStart"/>
      <w:r w:rsidRPr="00393AEE">
        <w:rPr>
          <w:rFonts w:ascii="Calibri" w:hAnsi="Calibri"/>
          <w:bCs/>
        </w:rPr>
        <w:lastRenderedPageBreak/>
        <w:t>Oloo</w:t>
      </w:r>
      <w:proofErr w:type="spellEnd"/>
      <w:r w:rsidRPr="00393AEE">
        <w:rPr>
          <w:rFonts w:ascii="Calibri" w:hAnsi="Calibri"/>
          <w:bCs/>
        </w:rPr>
        <w:t xml:space="preserve">, J. A. (2007). Aboriginal university student success in British Columbia, Canada: Time for action. </w:t>
      </w:r>
      <w:r w:rsidRPr="00393AEE">
        <w:rPr>
          <w:rFonts w:ascii="Calibri" w:hAnsi="Calibri"/>
          <w:bCs/>
          <w:i/>
          <w:iCs/>
        </w:rPr>
        <w:t>The Australian Journal of Indigenous Education, 36</w:t>
      </w:r>
      <w:r w:rsidRPr="00393AEE">
        <w:rPr>
          <w:rFonts w:ascii="Calibri" w:hAnsi="Calibri"/>
          <w:bCs/>
        </w:rPr>
        <w:t>, 88-99.</w:t>
      </w:r>
    </w:p>
    <w:p w14:paraId="5E685F65" w14:textId="77777777" w:rsidR="00AD3FA9" w:rsidRDefault="00AD3FA9" w:rsidP="0074138F">
      <w:pPr>
        <w:pStyle w:val="ListParagraph"/>
        <w:spacing w:line="480" w:lineRule="auto"/>
        <w:ind w:hanging="720"/>
        <w:rPr>
          <w:rFonts w:ascii="Calibri" w:hAnsi="Calibri"/>
          <w:bCs/>
        </w:rPr>
      </w:pPr>
      <w:r w:rsidRPr="00AD3FA9">
        <w:rPr>
          <w:rFonts w:ascii="Calibri" w:hAnsi="Calibri"/>
          <w:bCs/>
        </w:rPr>
        <w:t xml:space="preserve">Ontario Alliance of Black School Educators (ONABSE). (2015). Voices of Ontario black educators: An experiential report. </w:t>
      </w:r>
    </w:p>
    <w:p w14:paraId="076CA5FA" w14:textId="54F537BE" w:rsidR="004F6373" w:rsidRPr="005B0A3B" w:rsidRDefault="004F6373" w:rsidP="0074138F">
      <w:pPr>
        <w:pStyle w:val="ListParagraph"/>
        <w:spacing w:line="480" w:lineRule="auto"/>
        <w:ind w:hanging="720"/>
        <w:rPr>
          <w:rFonts w:ascii="Calibri" w:hAnsi="Calibri"/>
          <w:bCs/>
        </w:rPr>
      </w:pPr>
      <w:r>
        <w:rPr>
          <w:rFonts w:ascii="Calibri" w:hAnsi="Calibri"/>
          <w:bCs/>
        </w:rPr>
        <w:t xml:space="preserve">Ontario College of Teachers. (2015). </w:t>
      </w:r>
      <w:r>
        <w:rPr>
          <w:rFonts w:ascii="Calibri" w:hAnsi="Calibri"/>
          <w:bCs/>
          <w:i/>
        </w:rPr>
        <w:t>Statistics: Membership demographics.</w:t>
      </w:r>
      <w:r>
        <w:rPr>
          <w:rFonts w:ascii="Calibri" w:hAnsi="Calibri"/>
          <w:bCs/>
        </w:rPr>
        <w:t xml:space="preserve"> Retrieved from </w:t>
      </w:r>
      <w:hyperlink r:id="rId11" w:history="1">
        <w:r w:rsidRPr="00A15396">
          <w:rPr>
            <w:rStyle w:val="Hyperlink"/>
            <w:rFonts w:ascii="Calibri" w:hAnsi="Calibri"/>
            <w:bCs/>
          </w:rPr>
          <w:t>http://reports.oct.ca/2015/en/statistics/membership-demographics.html</w:t>
        </w:r>
      </w:hyperlink>
      <w:r>
        <w:rPr>
          <w:rFonts w:ascii="Calibri" w:hAnsi="Calibri"/>
          <w:bCs/>
        </w:rPr>
        <w:t xml:space="preserve"> </w:t>
      </w:r>
    </w:p>
    <w:p w14:paraId="6E2823FC" w14:textId="77777777" w:rsidR="004F6373" w:rsidRDefault="004F6373" w:rsidP="0074138F">
      <w:pPr>
        <w:pStyle w:val="ListParagraph"/>
        <w:spacing w:line="480" w:lineRule="auto"/>
        <w:ind w:hanging="720"/>
        <w:rPr>
          <w:rFonts w:ascii="Calibri" w:hAnsi="Calibri"/>
          <w:bCs/>
        </w:rPr>
      </w:pPr>
      <w:r>
        <w:rPr>
          <w:rFonts w:ascii="Calibri" w:hAnsi="Calibri"/>
          <w:bCs/>
        </w:rPr>
        <w:t>Ontario Ministry of Education (2013</w:t>
      </w:r>
      <w:r w:rsidR="00E63509">
        <w:rPr>
          <w:rFonts w:ascii="Calibri" w:hAnsi="Calibri"/>
          <w:bCs/>
        </w:rPr>
        <w:t>a</w:t>
      </w:r>
      <w:r>
        <w:rPr>
          <w:rFonts w:ascii="Calibri" w:hAnsi="Calibri"/>
          <w:bCs/>
        </w:rPr>
        <w:t xml:space="preserve">). </w:t>
      </w:r>
      <w:r>
        <w:rPr>
          <w:rFonts w:ascii="Calibri" w:hAnsi="Calibri"/>
          <w:bCs/>
          <w:i/>
        </w:rPr>
        <w:t xml:space="preserve">Modernizing teacher </w:t>
      </w:r>
      <w:r w:rsidRPr="00D94672">
        <w:rPr>
          <w:rFonts w:ascii="Calibri" w:hAnsi="Calibri"/>
          <w:bCs/>
          <w:i/>
        </w:rPr>
        <w:t>education</w:t>
      </w:r>
      <w:r>
        <w:rPr>
          <w:rFonts w:ascii="Calibri" w:hAnsi="Calibri"/>
          <w:bCs/>
          <w:i/>
        </w:rPr>
        <w:t xml:space="preserve"> in Ontario</w:t>
      </w:r>
      <w:r>
        <w:rPr>
          <w:rFonts w:ascii="Calibri" w:hAnsi="Calibri"/>
          <w:bCs/>
        </w:rPr>
        <w:t xml:space="preserve">. Retrieved from </w:t>
      </w:r>
      <w:hyperlink r:id="rId12" w:history="1">
        <w:r w:rsidRPr="008957CF">
          <w:rPr>
            <w:rStyle w:val="Hyperlink"/>
            <w:rFonts w:ascii="Calibri" w:hAnsi="Calibri"/>
            <w:bCs/>
          </w:rPr>
          <w:t>https://news.ontario.ca/edu/en/2013/06/modernizing-teacher-education-in-ontario.html</w:t>
        </w:r>
      </w:hyperlink>
      <w:r>
        <w:rPr>
          <w:rFonts w:ascii="Calibri" w:hAnsi="Calibri"/>
          <w:bCs/>
        </w:rPr>
        <w:t xml:space="preserve"> </w:t>
      </w:r>
    </w:p>
    <w:p w14:paraId="14F97548" w14:textId="77777777" w:rsidR="00E63509" w:rsidRPr="00B71F6C" w:rsidRDefault="00E63509" w:rsidP="0074138F">
      <w:pPr>
        <w:pStyle w:val="NoSpacing"/>
        <w:spacing w:line="480" w:lineRule="auto"/>
        <w:ind w:left="720" w:hanging="720"/>
        <w:rPr>
          <w:rFonts w:asciiTheme="minorHAnsi" w:hAnsiTheme="minorHAnsi"/>
          <w:bCs/>
        </w:rPr>
      </w:pPr>
      <w:r w:rsidRPr="00B71F6C">
        <w:rPr>
          <w:rFonts w:asciiTheme="minorHAnsi" w:hAnsiTheme="minorHAnsi"/>
        </w:rPr>
        <w:t>Ontario Ministry of Education. (2013</w:t>
      </w:r>
      <w:r>
        <w:rPr>
          <w:rFonts w:asciiTheme="minorHAnsi" w:hAnsiTheme="minorHAnsi"/>
        </w:rPr>
        <w:t>b</w:t>
      </w:r>
      <w:r w:rsidRPr="00B71F6C">
        <w:rPr>
          <w:rFonts w:asciiTheme="minorHAnsi" w:hAnsiTheme="minorHAnsi"/>
        </w:rPr>
        <w:t xml:space="preserve">). </w:t>
      </w:r>
      <w:r w:rsidRPr="00B71F6C">
        <w:rPr>
          <w:rFonts w:asciiTheme="minorHAnsi" w:hAnsiTheme="minorHAnsi"/>
          <w:i/>
          <w:iCs/>
        </w:rPr>
        <w:t>Ontario regulation 283/13: Amending Ontario regulation 347-02</w:t>
      </w:r>
      <w:r w:rsidRPr="00B71F6C">
        <w:rPr>
          <w:rFonts w:asciiTheme="minorHAnsi" w:hAnsiTheme="minorHAnsi"/>
        </w:rPr>
        <w:t xml:space="preserve">. Retrieved from </w:t>
      </w:r>
      <w:hyperlink r:id="rId13" w:history="1">
        <w:r w:rsidRPr="00DD59DC">
          <w:rPr>
            <w:rStyle w:val="Hyperlink"/>
            <w:rFonts w:asciiTheme="minorHAnsi" w:hAnsiTheme="minorHAnsi"/>
          </w:rPr>
          <w:t>http://www.e-laws.gov.on.ca/html/source/regs/english/2013/elaws_src_regs_r13283_e.htm</w:t>
        </w:r>
      </w:hyperlink>
      <w:r>
        <w:rPr>
          <w:rFonts w:asciiTheme="minorHAnsi" w:hAnsiTheme="minorHAnsi"/>
        </w:rPr>
        <w:t xml:space="preserve"> </w:t>
      </w:r>
      <w:r w:rsidRPr="00B71F6C">
        <w:rPr>
          <w:rFonts w:asciiTheme="minorHAnsi" w:hAnsiTheme="minorHAnsi"/>
        </w:rPr>
        <w:t xml:space="preserve"> </w:t>
      </w:r>
    </w:p>
    <w:p w14:paraId="41151303" w14:textId="77777777" w:rsidR="004F6373" w:rsidRDefault="004F6373" w:rsidP="0074138F">
      <w:pPr>
        <w:pStyle w:val="ListParagraph"/>
        <w:spacing w:line="480" w:lineRule="auto"/>
        <w:ind w:hanging="720"/>
        <w:rPr>
          <w:rFonts w:ascii="Calibri" w:hAnsi="Calibri"/>
          <w:bCs/>
        </w:rPr>
      </w:pPr>
      <w:r w:rsidRPr="00D94672">
        <w:rPr>
          <w:rFonts w:ascii="Calibri" w:hAnsi="Calibri"/>
          <w:bCs/>
        </w:rPr>
        <w:t>Ontario</w:t>
      </w:r>
      <w:r>
        <w:rPr>
          <w:rFonts w:ascii="Calibri" w:hAnsi="Calibri"/>
          <w:bCs/>
        </w:rPr>
        <w:t xml:space="preserve"> Universities’ Application Centre (2016a). </w:t>
      </w:r>
      <w:r>
        <w:rPr>
          <w:rFonts w:ascii="Calibri" w:hAnsi="Calibri"/>
          <w:bCs/>
          <w:i/>
        </w:rPr>
        <w:t xml:space="preserve">Teacher education (OUAC205) monthly application statistics: September 9, 2016. </w:t>
      </w:r>
      <w:r>
        <w:rPr>
          <w:rFonts w:ascii="Calibri" w:hAnsi="Calibri"/>
          <w:bCs/>
        </w:rPr>
        <w:t>Retrieved f</w:t>
      </w:r>
      <w:r w:rsidRPr="0036586F">
        <w:rPr>
          <w:rFonts w:asciiTheme="minorHAnsi" w:hAnsiTheme="minorHAnsi"/>
          <w:bCs/>
        </w:rPr>
        <w:t xml:space="preserve">rom </w:t>
      </w:r>
      <w:hyperlink r:id="rId14" w:history="1">
        <w:r w:rsidRPr="0036586F">
          <w:rPr>
            <w:rStyle w:val="Hyperlink"/>
            <w:rFonts w:asciiTheme="minorHAnsi" w:hAnsiTheme="minorHAnsi"/>
          </w:rPr>
          <w:t>https://www.ouac.on.ca/docs/stats/archive/t2016/sepunivteasx_app_20160907_20150902.pdf</w:t>
        </w:r>
      </w:hyperlink>
      <w:r w:rsidRPr="0036586F">
        <w:rPr>
          <w:rFonts w:asciiTheme="minorHAnsi" w:hAnsiTheme="minorHAnsi"/>
        </w:rPr>
        <w:t xml:space="preserve"> </w:t>
      </w:r>
    </w:p>
    <w:p w14:paraId="60873B58" w14:textId="77777777" w:rsidR="004F6373" w:rsidRDefault="004F6373" w:rsidP="0074138F">
      <w:pPr>
        <w:pStyle w:val="ListParagraph"/>
        <w:spacing w:line="480" w:lineRule="auto"/>
        <w:ind w:hanging="720"/>
      </w:pPr>
      <w:r w:rsidRPr="00D94672">
        <w:rPr>
          <w:rFonts w:ascii="Calibri" w:hAnsi="Calibri"/>
          <w:bCs/>
        </w:rPr>
        <w:t>Ontario</w:t>
      </w:r>
      <w:r>
        <w:rPr>
          <w:rFonts w:ascii="Calibri" w:hAnsi="Calibri"/>
          <w:bCs/>
        </w:rPr>
        <w:t xml:space="preserve"> </w:t>
      </w:r>
      <w:r w:rsidRPr="0036586F">
        <w:rPr>
          <w:rFonts w:asciiTheme="minorHAnsi" w:hAnsiTheme="minorHAnsi"/>
          <w:bCs/>
        </w:rPr>
        <w:t xml:space="preserve">Universities’ Application Centre (2016b). </w:t>
      </w:r>
      <w:r w:rsidRPr="0036586F">
        <w:rPr>
          <w:rFonts w:asciiTheme="minorHAnsi" w:hAnsiTheme="minorHAnsi"/>
          <w:bCs/>
          <w:i/>
        </w:rPr>
        <w:t xml:space="preserve">Teacher education (OUAC205) monthly confirmation statistics: September 9, 2016. </w:t>
      </w:r>
      <w:r w:rsidRPr="0036586F">
        <w:rPr>
          <w:rFonts w:asciiTheme="minorHAnsi" w:hAnsiTheme="minorHAnsi"/>
          <w:bCs/>
        </w:rPr>
        <w:t xml:space="preserve">Retrieved from </w:t>
      </w:r>
      <w:hyperlink r:id="rId15" w:history="1">
        <w:r w:rsidRPr="0036586F">
          <w:rPr>
            <w:rStyle w:val="Hyperlink"/>
            <w:rFonts w:asciiTheme="minorHAnsi" w:hAnsiTheme="minorHAnsi"/>
          </w:rPr>
          <w:t>https://www.ouac.on.ca/docs/stats/archive/t2016/sepunivteasx_cnf_20160907_20150902.pdf</w:t>
        </w:r>
      </w:hyperlink>
      <w:r>
        <w:t xml:space="preserve"> </w:t>
      </w:r>
    </w:p>
    <w:p w14:paraId="04E62B33" w14:textId="77777777" w:rsidR="006B7792" w:rsidRDefault="006B7792" w:rsidP="0074138F">
      <w:pPr>
        <w:pStyle w:val="ListParagraph"/>
        <w:spacing w:line="480" w:lineRule="auto"/>
        <w:ind w:hanging="720"/>
        <w:rPr>
          <w:rFonts w:asciiTheme="minorHAnsi" w:hAnsiTheme="minorHAnsi"/>
        </w:rPr>
      </w:pPr>
      <w:r>
        <w:rPr>
          <w:rFonts w:asciiTheme="minorHAnsi" w:hAnsiTheme="minorHAnsi"/>
        </w:rPr>
        <w:lastRenderedPageBreak/>
        <w:t>Petrarca, D.,</w:t>
      </w:r>
      <w:r w:rsidRPr="0036586F">
        <w:rPr>
          <w:rFonts w:asciiTheme="minorHAnsi" w:hAnsiTheme="minorHAnsi"/>
        </w:rPr>
        <w:t xml:space="preserve"> &amp; Kitchen, J. (Eds</w:t>
      </w:r>
      <w:r>
        <w:rPr>
          <w:rFonts w:asciiTheme="minorHAnsi" w:hAnsiTheme="minorHAnsi"/>
        </w:rPr>
        <w:t>.</w:t>
      </w:r>
      <w:r w:rsidRPr="0036586F">
        <w:rPr>
          <w:rFonts w:asciiTheme="minorHAnsi" w:hAnsiTheme="minorHAnsi"/>
        </w:rPr>
        <w:t>). (</w:t>
      </w:r>
      <w:r>
        <w:rPr>
          <w:rFonts w:asciiTheme="minorHAnsi" w:hAnsiTheme="minorHAnsi"/>
        </w:rPr>
        <w:t>2017</w:t>
      </w:r>
      <w:r w:rsidRPr="0036586F">
        <w:rPr>
          <w:rFonts w:asciiTheme="minorHAnsi" w:hAnsiTheme="minorHAnsi"/>
        </w:rPr>
        <w:t xml:space="preserve">). </w:t>
      </w:r>
      <w:r w:rsidRPr="0036586F">
        <w:rPr>
          <w:rFonts w:asciiTheme="minorHAnsi" w:hAnsiTheme="minorHAnsi"/>
          <w:i/>
        </w:rPr>
        <w:t>Initial teacher education in Ontario: The first year of four-semester teacher education programs.</w:t>
      </w:r>
      <w:r w:rsidRPr="0036586F">
        <w:rPr>
          <w:rFonts w:asciiTheme="minorHAnsi" w:hAnsiTheme="minorHAnsi"/>
        </w:rPr>
        <w:t xml:space="preserve"> Ottawa, ON: Canadian Association for Teacher Education/Canadian Society for Studies in Education.</w:t>
      </w:r>
    </w:p>
    <w:p w14:paraId="340ED6F9" w14:textId="77777777" w:rsidR="00AD3FA9" w:rsidRDefault="00AD3FA9" w:rsidP="0074138F">
      <w:pPr>
        <w:pStyle w:val="ListParagraph"/>
        <w:spacing w:line="480" w:lineRule="auto"/>
        <w:ind w:hanging="720"/>
        <w:rPr>
          <w:rFonts w:asciiTheme="minorHAnsi" w:hAnsiTheme="minorHAnsi"/>
        </w:rPr>
      </w:pPr>
      <w:r w:rsidRPr="00AD3FA9">
        <w:rPr>
          <w:rFonts w:asciiTheme="minorHAnsi" w:hAnsiTheme="minorHAnsi"/>
        </w:rPr>
        <w:t xml:space="preserve">Ryan, J., Pollock, K., &amp; Antonelli, F. (2009). Teacher diversity in Canada: Leaky pipelines, bottlenecks, and glass ceilings. </w:t>
      </w:r>
      <w:r w:rsidRPr="00AD3FA9">
        <w:rPr>
          <w:rFonts w:asciiTheme="minorHAnsi" w:hAnsiTheme="minorHAnsi"/>
          <w:i/>
        </w:rPr>
        <w:t>Canadian Journal of Education, 32</w:t>
      </w:r>
      <w:r w:rsidRPr="00AD3FA9">
        <w:rPr>
          <w:rFonts w:asciiTheme="minorHAnsi" w:hAnsiTheme="minorHAnsi"/>
        </w:rPr>
        <w:t xml:space="preserve">(3), 591-617. </w:t>
      </w:r>
    </w:p>
    <w:p w14:paraId="3EFC9654" w14:textId="13C97EB6" w:rsidR="008A77E8" w:rsidRDefault="008A77E8" w:rsidP="0074138F">
      <w:pPr>
        <w:pStyle w:val="ListParagraph"/>
        <w:spacing w:line="480" w:lineRule="auto"/>
        <w:ind w:hanging="720"/>
        <w:rPr>
          <w:rFonts w:asciiTheme="minorHAnsi" w:hAnsiTheme="minorHAnsi"/>
        </w:rPr>
      </w:pPr>
      <w:r>
        <w:rPr>
          <w:rFonts w:asciiTheme="minorHAnsi" w:hAnsiTheme="minorHAnsi"/>
        </w:rPr>
        <w:t xml:space="preserve">Searle, J. (2003). Equal opportunity does not produce equity: (Not) getting into medical school. </w:t>
      </w:r>
      <w:r>
        <w:rPr>
          <w:rFonts w:asciiTheme="minorHAnsi" w:hAnsiTheme="minorHAnsi"/>
          <w:i/>
        </w:rPr>
        <w:t>Medical Education, 37</w:t>
      </w:r>
      <w:r>
        <w:rPr>
          <w:rFonts w:asciiTheme="minorHAnsi" w:hAnsiTheme="minorHAnsi"/>
        </w:rPr>
        <w:t>, 290-291.</w:t>
      </w:r>
    </w:p>
    <w:p w14:paraId="7B1FFBEA" w14:textId="77777777" w:rsidR="008A77E8" w:rsidRDefault="008A77E8" w:rsidP="0074138F">
      <w:pPr>
        <w:pStyle w:val="ListParagraph"/>
        <w:spacing w:line="480" w:lineRule="auto"/>
        <w:ind w:hanging="720"/>
        <w:rPr>
          <w:rFonts w:asciiTheme="minorHAnsi" w:hAnsiTheme="minorHAnsi"/>
        </w:rPr>
      </w:pPr>
      <w:proofErr w:type="spellStart"/>
      <w:r w:rsidRPr="00C83B3B">
        <w:rPr>
          <w:rFonts w:asciiTheme="minorHAnsi" w:hAnsiTheme="minorHAnsi"/>
        </w:rPr>
        <w:t>Sedlacek</w:t>
      </w:r>
      <w:proofErr w:type="spellEnd"/>
      <w:r w:rsidRPr="00C83B3B">
        <w:rPr>
          <w:rFonts w:asciiTheme="minorHAnsi" w:hAnsiTheme="minorHAnsi"/>
        </w:rPr>
        <w:t xml:space="preserve">, W. E. (2004). </w:t>
      </w:r>
      <w:r w:rsidRPr="00C83B3B">
        <w:rPr>
          <w:rFonts w:asciiTheme="minorHAnsi" w:hAnsiTheme="minorHAnsi"/>
          <w:i/>
        </w:rPr>
        <w:t>Beyond the big test: Noncognitive assessment in higher education.</w:t>
      </w:r>
      <w:r w:rsidRPr="00C83B3B">
        <w:rPr>
          <w:rFonts w:asciiTheme="minorHAnsi" w:hAnsiTheme="minorHAnsi"/>
        </w:rPr>
        <w:t xml:space="preserve"> San </w:t>
      </w:r>
      <w:proofErr w:type="spellStart"/>
      <w:r w:rsidRPr="00C83B3B">
        <w:rPr>
          <w:rFonts w:asciiTheme="minorHAnsi" w:hAnsiTheme="minorHAnsi"/>
        </w:rPr>
        <w:t>Fransisco</w:t>
      </w:r>
      <w:proofErr w:type="spellEnd"/>
      <w:r w:rsidRPr="00C83B3B">
        <w:rPr>
          <w:rFonts w:asciiTheme="minorHAnsi" w:hAnsiTheme="minorHAnsi"/>
        </w:rPr>
        <w:t>, CA: Jossey-Bass.</w:t>
      </w:r>
    </w:p>
    <w:p w14:paraId="298DBF9C" w14:textId="77777777" w:rsidR="00287949" w:rsidRDefault="007747FE" w:rsidP="0074138F">
      <w:pPr>
        <w:pStyle w:val="ListParagraph"/>
        <w:spacing w:line="480" w:lineRule="auto"/>
        <w:ind w:hanging="720"/>
        <w:rPr>
          <w:rFonts w:ascii="Calibri" w:eastAsia="Calibri" w:hAnsi="Calibri" w:cs="Calibri"/>
          <w:bCs/>
        </w:rPr>
      </w:pPr>
      <w:r w:rsidRPr="007747FE">
        <w:rPr>
          <w:rFonts w:ascii="Calibri" w:eastAsia="Calibri" w:hAnsi="Calibri" w:cs="Calibri"/>
          <w:bCs/>
        </w:rPr>
        <w:t xml:space="preserve">Statistics Canada. (2015). Disability in Canada: Initial findings from the Canadian survey on disability. Retrieved from </w:t>
      </w:r>
      <w:hyperlink r:id="rId16" w:history="1">
        <w:r w:rsidRPr="00F065EA">
          <w:rPr>
            <w:rStyle w:val="Hyperlink"/>
            <w:rFonts w:ascii="Calibri" w:eastAsia="Calibri" w:hAnsi="Calibri" w:cs="Calibri"/>
          </w:rPr>
          <w:t>http://www.statcan.gc.ca/pub/89-654-x/89-654-x2013002-eng.htm</w:t>
        </w:r>
      </w:hyperlink>
    </w:p>
    <w:p w14:paraId="3DFC8FF3" w14:textId="77777777" w:rsidR="008A77E8" w:rsidRDefault="00287949" w:rsidP="0074138F">
      <w:pPr>
        <w:pStyle w:val="ListParagraph"/>
        <w:spacing w:line="480" w:lineRule="auto"/>
        <w:ind w:hanging="720"/>
        <w:rPr>
          <w:rFonts w:ascii="Calibri" w:eastAsia="Calibri" w:hAnsi="Calibri" w:cs="Calibri"/>
          <w:bCs/>
        </w:rPr>
      </w:pPr>
      <w:r>
        <w:rPr>
          <w:rFonts w:asciiTheme="minorHAnsi" w:hAnsiTheme="minorHAnsi"/>
        </w:rPr>
        <w:t xml:space="preserve">Statistics Canada. (2016). </w:t>
      </w:r>
      <w:r w:rsidRPr="000A6792">
        <w:rPr>
          <w:rFonts w:asciiTheme="minorHAnsi" w:hAnsiTheme="minorHAnsi"/>
          <w:i/>
        </w:rPr>
        <w:t>Immigration and Ethnocultural Diversity in Canada</w:t>
      </w:r>
      <w:r>
        <w:rPr>
          <w:rFonts w:asciiTheme="minorHAnsi" w:hAnsiTheme="minorHAnsi"/>
        </w:rPr>
        <w:t xml:space="preserve">. Retrieved from </w:t>
      </w:r>
      <w:hyperlink r:id="rId17" w:history="1">
        <w:r w:rsidRPr="00A544E8">
          <w:rPr>
            <w:rStyle w:val="Hyperlink"/>
            <w:rFonts w:asciiTheme="minorHAnsi" w:hAnsiTheme="minorHAnsi"/>
          </w:rPr>
          <w:t>https://www12.statcan.gc.ca/nhs-enm/2011/as-sa/99-010-x/99-010-x2011001-eng.cfm</w:t>
        </w:r>
      </w:hyperlink>
    </w:p>
    <w:p w14:paraId="1D2B33AC" w14:textId="77777777" w:rsidR="008A77E8" w:rsidRPr="008A77E8" w:rsidRDefault="008A77E8" w:rsidP="0074138F">
      <w:pPr>
        <w:pStyle w:val="ListParagraph"/>
        <w:spacing w:line="480" w:lineRule="auto"/>
        <w:ind w:hanging="720"/>
        <w:rPr>
          <w:rFonts w:ascii="Calibri" w:eastAsia="Calibri" w:hAnsi="Calibri" w:cs="Calibri"/>
          <w:bCs/>
        </w:rPr>
      </w:pPr>
      <w:r w:rsidRPr="002F3EE4">
        <w:rPr>
          <w:rFonts w:asciiTheme="minorHAnsi" w:hAnsiTheme="minorHAnsi"/>
        </w:rPr>
        <w:t xml:space="preserve">Stead, V. (2015). Admissions policy as a source of equity in higher education: Lessons from Canadian teacher education. In V. Stead (Ed.), </w:t>
      </w:r>
      <w:r w:rsidRPr="0055018E">
        <w:rPr>
          <w:rFonts w:asciiTheme="minorHAnsi" w:hAnsiTheme="minorHAnsi"/>
          <w:i/>
        </w:rPr>
        <w:t>International perspectives on higher education admission policy: A reader</w:t>
      </w:r>
      <w:r w:rsidRPr="002F3EE4">
        <w:rPr>
          <w:rFonts w:asciiTheme="minorHAnsi" w:hAnsiTheme="minorHAnsi"/>
        </w:rPr>
        <w:t xml:space="preserve"> (pp. 320-329). New York, NY: Peter Lang.</w:t>
      </w:r>
    </w:p>
    <w:p w14:paraId="1D6A1186" w14:textId="77777777" w:rsidR="008A77E8" w:rsidRDefault="004F6373" w:rsidP="0074138F">
      <w:pPr>
        <w:pStyle w:val="ListParagraph"/>
        <w:spacing w:line="480" w:lineRule="auto"/>
        <w:ind w:hanging="720"/>
        <w:rPr>
          <w:rFonts w:ascii="Calibri" w:eastAsia="Calibri" w:hAnsi="Calibri" w:cs="Calibri"/>
          <w:bCs/>
        </w:rPr>
      </w:pPr>
      <w:r w:rsidRPr="00962C0C">
        <w:rPr>
          <w:rFonts w:ascii="Calibri" w:eastAsia="Calibri" w:hAnsi="Calibri" w:cs="Calibri"/>
          <w:bCs/>
        </w:rPr>
        <w:t xml:space="preserve">Teacher Education Application Service (TEAS). (2016). Teacher education applications. Retrieved from: </w:t>
      </w:r>
      <w:hyperlink r:id="rId18" w:history="1">
        <w:r w:rsidRPr="00D67E27">
          <w:rPr>
            <w:rStyle w:val="Hyperlink"/>
            <w:rFonts w:ascii="Calibri" w:eastAsia="Calibri" w:hAnsi="Calibri" w:cs="Calibri"/>
          </w:rPr>
          <w:t>https://www.ouac.on.ca/statistics/teacher-education-applications/</w:t>
        </w:r>
      </w:hyperlink>
    </w:p>
    <w:p w14:paraId="39A6F6ED" w14:textId="77777777" w:rsidR="00AD3FA9" w:rsidRDefault="008A77E8" w:rsidP="00AD3FA9">
      <w:pPr>
        <w:pStyle w:val="ListParagraph"/>
        <w:spacing w:line="480" w:lineRule="auto"/>
        <w:ind w:hanging="720"/>
        <w:rPr>
          <w:rFonts w:asciiTheme="minorHAnsi" w:hAnsiTheme="minorHAnsi"/>
        </w:rPr>
      </w:pPr>
      <w:r w:rsidRPr="00097692">
        <w:rPr>
          <w:rFonts w:asciiTheme="minorHAnsi" w:hAnsiTheme="minorHAnsi"/>
        </w:rPr>
        <w:t xml:space="preserve">Thomas, G. E., Alexander, K. L., &amp; </w:t>
      </w:r>
      <w:proofErr w:type="spellStart"/>
      <w:r w:rsidRPr="00097692">
        <w:rPr>
          <w:rFonts w:asciiTheme="minorHAnsi" w:hAnsiTheme="minorHAnsi"/>
        </w:rPr>
        <w:t>Eckland</w:t>
      </w:r>
      <w:proofErr w:type="spellEnd"/>
      <w:r w:rsidRPr="00097692">
        <w:rPr>
          <w:rFonts w:asciiTheme="minorHAnsi" w:hAnsiTheme="minorHAnsi"/>
        </w:rPr>
        <w:t>, B. K. (1979). Access to higher education: The Importance of race, sex, social class, and</w:t>
      </w:r>
      <w:r>
        <w:rPr>
          <w:rFonts w:asciiTheme="minorHAnsi" w:hAnsiTheme="minorHAnsi"/>
        </w:rPr>
        <w:t xml:space="preserve"> </w:t>
      </w:r>
      <w:r w:rsidRPr="00097692">
        <w:rPr>
          <w:rFonts w:asciiTheme="minorHAnsi" w:hAnsiTheme="minorHAnsi"/>
        </w:rPr>
        <w:t xml:space="preserve">academic credentials. </w:t>
      </w:r>
      <w:r w:rsidRPr="004A4D40">
        <w:rPr>
          <w:rFonts w:asciiTheme="minorHAnsi" w:hAnsiTheme="minorHAnsi"/>
          <w:i/>
        </w:rPr>
        <w:t>The School Review, 87</w:t>
      </w:r>
      <w:r w:rsidRPr="00097692">
        <w:rPr>
          <w:rFonts w:asciiTheme="minorHAnsi" w:hAnsiTheme="minorHAnsi"/>
        </w:rPr>
        <w:t>(2), 133–156.</w:t>
      </w:r>
    </w:p>
    <w:p w14:paraId="6F6F78D4" w14:textId="68344E26" w:rsidR="00AD3FA9" w:rsidRPr="00AD3FA9" w:rsidRDefault="00AD3FA9" w:rsidP="00AD3FA9">
      <w:pPr>
        <w:pStyle w:val="ListParagraph"/>
        <w:spacing w:line="480" w:lineRule="auto"/>
        <w:ind w:hanging="720"/>
        <w:rPr>
          <w:rFonts w:ascii="Calibri" w:eastAsia="Calibri" w:hAnsi="Calibri" w:cs="Calibri"/>
          <w:bCs/>
        </w:rPr>
      </w:pPr>
      <w:r w:rsidRPr="00393AEE">
        <w:rPr>
          <w:rFonts w:ascii="Calibri" w:eastAsia="Calibri" w:hAnsi="Calibri" w:cs="Calibri"/>
          <w:bCs/>
        </w:rPr>
        <w:lastRenderedPageBreak/>
        <w:t xml:space="preserve">Thomson, D., Cummings, E., Ferguson, A. K., </w:t>
      </w:r>
      <w:proofErr w:type="spellStart"/>
      <w:r w:rsidRPr="00393AEE">
        <w:rPr>
          <w:rFonts w:ascii="Calibri" w:eastAsia="Calibri" w:hAnsi="Calibri" w:cs="Calibri"/>
          <w:bCs/>
        </w:rPr>
        <w:t>Moizumi</w:t>
      </w:r>
      <w:proofErr w:type="spellEnd"/>
      <w:r w:rsidRPr="00393AEE">
        <w:rPr>
          <w:rFonts w:ascii="Calibri" w:eastAsia="Calibri" w:hAnsi="Calibri" w:cs="Calibri"/>
          <w:bCs/>
        </w:rPr>
        <w:t xml:space="preserve">, E. M., Sher, Y., Wang, X., Broad, K., Childs, R. A. (2011). A role for research in initial teacher education admissions: A case study from one Canadian university. </w:t>
      </w:r>
      <w:r w:rsidRPr="00393AEE">
        <w:rPr>
          <w:rFonts w:ascii="Calibri" w:eastAsia="Calibri" w:hAnsi="Calibri" w:cs="Calibri"/>
          <w:bCs/>
          <w:i/>
          <w:iCs/>
        </w:rPr>
        <w:t>Canadian Journal of Educational Administration and Policy, 121</w:t>
      </w:r>
      <w:r w:rsidRPr="00393AEE">
        <w:rPr>
          <w:rFonts w:ascii="Calibri" w:eastAsia="Calibri" w:hAnsi="Calibri" w:cs="Calibri"/>
          <w:bCs/>
        </w:rPr>
        <w:t>, 1-23.</w:t>
      </w:r>
    </w:p>
    <w:p w14:paraId="691855DB" w14:textId="77777777" w:rsidR="008A77E8" w:rsidRDefault="004F6373" w:rsidP="0074138F">
      <w:pPr>
        <w:pStyle w:val="ListParagraph"/>
        <w:spacing w:line="480" w:lineRule="auto"/>
        <w:ind w:hanging="720"/>
        <w:rPr>
          <w:rFonts w:ascii="Calibri" w:hAnsi="Calibri"/>
          <w:bCs/>
        </w:rPr>
      </w:pPr>
      <w:r>
        <w:rPr>
          <w:rFonts w:ascii="Calibri" w:hAnsi="Calibri"/>
          <w:bCs/>
        </w:rPr>
        <w:t xml:space="preserve">Villegas, A. M., &amp; Irvine, J. J. (2010). Diversifying the teaching force: An examination of major arguments. </w:t>
      </w:r>
      <w:r>
        <w:rPr>
          <w:rFonts w:ascii="Calibri" w:hAnsi="Calibri"/>
          <w:bCs/>
          <w:i/>
          <w:iCs/>
        </w:rPr>
        <w:t>Urban Review 42</w:t>
      </w:r>
      <w:r>
        <w:rPr>
          <w:rFonts w:ascii="Calibri" w:hAnsi="Calibri"/>
          <w:bCs/>
        </w:rPr>
        <w:t>, 175-192.</w:t>
      </w:r>
    </w:p>
    <w:p w14:paraId="65A2AD37" w14:textId="77777777" w:rsidR="00F30F7D" w:rsidRDefault="008A77E8" w:rsidP="0074138F">
      <w:pPr>
        <w:pStyle w:val="ListParagraph"/>
        <w:spacing w:line="480" w:lineRule="auto"/>
        <w:ind w:hanging="720"/>
        <w:rPr>
          <w:rFonts w:asciiTheme="minorHAnsi" w:hAnsiTheme="minorHAnsi"/>
        </w:rPr>
      </w:pPr>
      <w:r w:rsidRPr="00E43704">
        <w:rPr>
          <w:rFonts w:asciiTheme="minorHAnsi" w:hAnsiTheme="minorHAnsi"/>
        </w:rPr>
        <w:t xml:space="preserve">Wang, G., &amp; </w:t>
      </w:r>
      <w:proofErr w:type="spellStart"/>
      <w:r w:rsidRPr="00E43704">
        <w:rPr>
          <w:rFonts w:asciiTheme="minorHAnsi" w:hAnsiTheme="minorHAnsi"/>
        </w:rPr>
        <w:t>Shulruf</w:t>
      </w:r>
      <w:proofErr w:type="spellEnd"/>
      <w:r w:rsidRPr="00E43704">
        <w:rPr>
          <w:rFonts w:asciiTheme="minorHAnsi" w:hAnsiTheme="minorHAnsi"/>
        </w:rPr>
        <w:t xml:space="preserve">, B. (2013). Admission model and equity in higher education. </w:t>
      </w:r>
      <w:r w:rsidRPr="00E43704">
        <w:rPr>
          <w:rFonts w:asciiTheme="minorHAnsi" w:hAnsiTheme="minorHAnsi"/>
          <w:i/>
        </w:rPr>
        <w:t>Asia-Pacific Education Researcher, 22</w:t>
      </w:r>
      <w:r w:rsidRPr="00E43704">
        <w:rPr>
          <w:rFonts w:asciiTheme="minorHAnsi" w:hAnsiTheme="minorHAnsi"/>
        </w:rPr>
        <w:t>(1), 111-117.</w:t>
      </w:r>
    </w:p>
    <w:p w14:paraId="2CDBFE15" w14:textId="77777777" w:rsidR="00F30F7D" w:rsidRPr="00BF3B64" w:rsidRDefault="00F30F7D" w:rsidP="0074138F">
      <w:pPr>
        <w:pStyle w:val="ListParagraph"/>
        <w:spacing w:line="480" w:lineRule="auto"/>
        <w:ind w:hanging="720"/>
        <w:rPr>
          <w:rFonts w:asciiTheme="minorHAnsi" w:hAnsiTheme="minorHAnsi"/>
        </w:rPr>
      </w:pPr>
      <w:r w:rsidRPr="00BF3B64">
        <w:rPr>
          <w:rFonts w:asciiTheme="minorHAnsi" w:hAnsiTheme="minorHAnsi"/>
        </w:rPr>
        <w:t xml:space="preserve">Wynne, K. (2014). 2014 Mandate letter: Training, Colleges, and Universities: Premier’s instructions to the minister on priorities for the year 2014. Retrieved from </w:t>
      </w:r>
      <w:hyperlink r:id="rId19" w:history="1">
        <w:r w:rsidRPr="00BF3B64">
          <w:rPr>
            <w:rStyle w:val="Hyperlink"/>
            <w:rFonts w:asciiTheme="minorHAnsi" w:hAnsiTheme="minorHAnsi"/>
          </w:rPr>
          <w:t>https://www.ontario.ca/page/2014-mandate-letter-training-colleges-and-universities</w:t>
        </w:r>
      </w:hyperlink>
      <w:r w:rsidRPr="00BF3B64">
        <w:rPr>
          <w:rFonts w:asciiTheme="minorHAnsi" w:hAnsiTheme="minorHAnsi"/>
        </w:rPr>
        <w:t xml:space="preserve"> </w:t>
      </w:r>
    </w:p>
    <w:p w14:paraId="0EAF4313" w14:textId="77777777" w:rsidR="00F30F7D" w:rsidRDefault="00F30F7D" w:rsidP="0074138F">
      <w:pPr>
        <w:pStyle w:val="ListParagraph"/>
        <w:spacing w:line="480" w:lineRule="auto"/>
        <w:ind w:hanging="720"/>
        <w:rPr>
          <w:rFonts w:asciiTheme="minorHAnsi" w:hAnsiTheme="minorHAnsi"/>
        </w:rPr>
      </w:pPr>
    </w:p>
    <w:sectPr w:rsidR="00F30F7D" w:rsidSect="00E21E2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4AB7A" w14:textId="77777777" w:rsidR="005627AD" w:rsidRDefault="005627AD" w:rsidP="00D5072E">
      <w:r>
        <w:separator/>
      </w:r>
    </w:p>
  </w:endnote>
  <w:endnote w:type="continuationSeparator" w:id="0">
    <w:p w14:paraId="583A0DC3" w14:textId="77777777" w:rsidR="005627AD" w:rsidRDefault="005627AD" w:rsidP="00D5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D5E8C" w14:textId="77777777" w:rsidR="004500D2" w:rsidRDefault="00450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994C2" w14:textId="77777777" w:rsidR="004500D2" w:rsidRDefault="00450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6C52" w14:textId="77777777" w:rsidR="004500D2" w:rsidRDefault="00450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B8191" w14:textId="77777777" w:rsidR="005627AD" w:rsidRDefault="005627AD" w:rsidP="00D5072E">
      <w:r>
        <w:separator/>
      </w:r>
    </w:p>
  </w:footnote>
  <w:footnote w:type="continuationSeparator" w:id="0">
    <w:p w14:paraId="4ED06B8A" w14:textId="77777777" w:rsidR="005627AD" w:rsidRDefault="005627AD" w:rsidP="00D5072E">
      <w:r>
        <w:continuationSeparator/>
      </w:r>
    </w:p>
  </w:footnote>
  <w:footnote w:id="1">
    <w:p w14:paraId="7C2DE868" w14:textId="6EBC6563" w:rsidR="004500D2" w:rsidRPr="007A4226" w:rsidRDefault="004500D2">
      <w:pPr>
        <w:pStyle w:val="FootnoteText"/>
        <w:rPr>
          <w:rFonts w:asciiTheme="minorHAnsi" w:hAnsiTheme="minorHAnsi"/>
          <w:sz w:val="24"/>
          <w:szCs w:val="24"/>
          <w:lang w:val="en-US"/>
        </w:rPr>
      </w:pPr>
      <w:r w:rsidRPr="007A4226">
        <w:rPr>
          <w:rStyle w:val="FootnoteReference"/>
          <w:rFonts w:asciiTheme="minorHAnsi" w:hAnsiTheme="minorHAnsi"/>
          <w:sz w:val="24"/>
          <w:szCs w:val="24"/>
        </w:rPr>
        <w:footnoteRef/>
      </w:r>
      <w:r w:rsidRPr="007A4226">
        <w:rPr>
          <w:rFonts w:asciiTheme="minorHAnsi" w:hAnsiTheme="minorHAnsi"/>
          <w:sz w:val="24"/>
          <w:szCs w:val="24"/>
        </w:rPr>
        <w:t xml:space="preserve"> </w:t>
      </w:r>
      <w:r>
        <w:rPr>
          <w:rFonts w:asciiTheme="minorHAnsi" w:hAnsiTheme="minorHAnsi"/>
          <w:sz w:val="24"/>
          <w:szCs w:val="24"/>
        </w:rPr>
        <w:t>Importantly, different institutions assess candidate quality in different ways. See Holden, Kitchen, Petrarca, &amp; LeSage (2016) for an exploration of the most common methods in Canadian teacher education.</w:t>
      </w:r>
    </w:p>
  </w:footnote>
  <w:footnote w:id="2">
    <w:p w14:paraId="750CA869" w14:textId="580EFC2A" w:rsidR="00132C66" w:rsidRPr="001C61DE" w:rsidRDefault="00132C66">
      <w:pPr>
        <w:pStyle w:val="FootnoteText"/>
        <w:rPr>
          <w:rFonts w:ascii="Calibri" w:hAnsi="Calibri"/>
          <w:sz w:val="24"/>
          <w:szCs w:val="24"/>
          <w:lang w:val="en-US"/>
        </w:rPr>
      </w:pPr>
      <w:r w:rsidRPr="001C61DE">
        <w:rPr>
          <w:rStyle w:val="FootnoteReference"/>
          <w:rFonts w:ascii="Calibri" w:hAnsi="Calibri"/>
          <w:sz w:val="24"/>
          <w:szCs w:val="24"/>
        </w:rPr>
        <w:footnoteRef/>
      </w:r>
      <w:r w:rsidRPr="001C61DE">
        <w:rPr>
          <w:rFonts w:ascii="Calibri" w:hAnsi="Calibri"/>
          <w:sz w:val="24"/>
          <w:szCs w:val="24"/>
        </w:rPr>
        <w:t xml:space="preserve"> </w:t>
      </w:r>
      <w:r w:rsidRPr="001C61DE">
        <w:rPr>
          <w:rFonts w:ascii="Calibri" w:hAnsi="Calibri"/>
          <w:sz w:val="24"/>
          <w:szCs w:val="24"/>
          <w:lang w:val="en-US"/>
        </w:rPr>
        <w:t>First Nations, Métis, and Inuit peoples participate in PSE at different rates</w:t>
      </w:r>
      <w:r w:rsidR="00160EB4" w:rsidRPr="001C61DE">
        <w:rPr>
          <w:rFonts w:ascii="Calibri" w:hAnsi="Calibri"/>
          <w:sz w:val="24"/>
          <w:szCs w:val="24"/>
          <w:lang w:val="en-US"/>
        </w:rPr>
        <w:t xml:space="preserve"> and have vastly different shares of Ontario’s Aboriginal population (Mendelson, 2006)</w:t>
      </w:r>
      <w:r w:rsidRPr="001C61DE">
        <w:rPr>
          <w:rFonts w:ascii="Calibri" w:hAnsi="Calibri"/>
          <w:sz w:val="24"/>
          <w:szCs w:val="24"/>
          <w:lang w:val="en-US"/>
        </w:rPr>
        <w:t xml:space="preserve">. To our knowledge, however, no institution reports on these populations as separate groups, and instead report on </w:t>
      </w:r>
      <w:r w:rsidR="001D2B22" w:rsidRPr="001C61DE">
        <w:rPr>
          <w:rFonts w:ascii="Calibri" w:hAnsi="Calibri"/>
          <w:sz w:val="24"/>
          <w:szCs w:val="24"/>
          <w:lang w:val="en-US"/>
        </w:rPr>
        <w:t xml:space="preserve">overall </w:t>
      </w:r>
      <w:r w:rsidRPr="001C61DE">
        <w:rPr>
          <w:rFonts w:ascii="Calibri" w:hAnsi="Calibri"/>
          <w:sz w:val="24"/>
          <w:szCs w:val="24"/>
          <w:lang w:val="en-US"/>
        </w:rPr>
        <w:t>rates of Aboriginal participatio</w:t>
      </w:r>
      <w:r w:rsidR="001D2B22" w:rsidRPr="001C61DE">
        <w:rPr>
          <w:rFonts w:ascii="Calibri" w:hAnsi="Calibri"/>
          <w:sz w:val="24"/>
          <w:szCs w:val="24"/>
          <w:lang w:val="en-US"/>
        </w:rPr>
        <w:t>n (see Holden &amp; Kitchen, 2017).</w:t>
      </w:r>
    </w:p>
  </w:footnote>
  <w:footnote w:id="3">
    <w:p w14:paraId="0DA61A7F" w14:textId="7581509B" w:rsidR="008015E7" w:rsidRPr="001C61DE" w:rsidRDefault="008015E7">
      <w:pPr>
        <w:pStyle w:val="FootnoteText"/>
        <w:rPr>
          <w:rFonts w:ascii="Calibri" w:hAnsi="Calibri"/>
          <w:sz w:val="24"/>
          <w:szCs w:val="24"/>
          <w:lang w:val="en-US"/>
        </w:rPr>
      </w:pPr>
      <w:r w:rsidRPr="001C61DE">
        <w:rPr>
          <w:rStyle w:val="FootnoteReference"/>
          <w:rFonts w:ascii="Calibri" w:hAnsi="Calibri"/>
          <w:sz w:val="24"/>
          <w:szCs w:val="24"/>
        </w:rPr>
        <w:footnoteRef/>
      </w:r>
      <w:r w:rsidRPr="001C61DE">
        <w:rPr>
          <w:rFonts w:ascii="Calibri" w:hAnsi="Calibri"/>
          <w:sz w:val="24"/>
          <w:szCs w:val="24"/>
        </w:rPr>
        <w:t xml:space="preserve"> As Finnie and colleagues (2011b) describe, students with disabilities are those students who self-identify as having as having various “physical, sensory, and cognitive disabilities” (p. 17).</w:t>
      </w:r>
    </w:p>
  </w:footnote>
  <w:footnote w:id="4">
    <w:p w14:paraId="07307D68" w14:textId="67175FCA" w:rsidR="00132C66" w:rsidRPr="00132C66" w:rsidRDefault="00132C66">
      <w:pPr>
        <w:pStyle w:val="FootnoteText"/>
        <w:rPr>
          <w:lang w:val="en-US"/>
        </w:rPr>
      </w:pPr>
      <w:r w:rsidRPr="001C61DE">
        <w:rPr>
          <w:rStyle w:val="FootnoteReference"/>
          <w:rFonts w:ascii="Calibri" w:hAnsi="Calibri"/>
          <w:sz w:val="24"/>
          <w:szCs w:val="24"/>
        </w:rPr>
        <w:footnoteRef/>
      </w:r>
      <w:r w:rsidRPr="001C61DE">
        <w:rPr>
          <w:rFonts w:ascii="Calibri" w:hAnsi="Calibri"/>
          <w:sz w:val="24"/>
          <w:szCs w:val="24"/>
        </w:rPr>
        <w:t xml:space="preserve"> First-generation students are those students who are the first in their family to attend postsecondary studies (Childs et al., 2016).</w:t>
      </w:r>
    </w:p>
  </w:footnote>
  <w:footnote w:id="5">
    <w:p w14:paraId="3CA257DB" w14:textId="77777777" w:rsidR="004500D2" w:rsidRPr="00D5072E" w:rsidRDefault="004500D2" w:rsidP="005A1476">
      <w:pPr>
        <w:pStyle w:val="FootnoteText"/>
        <w:rPr>
          <w:rFonts w:asciiTheme="minorHAnsi" w:hAnsiTheme="minorHAnsi"/>
          <w:sz w:val="24"/>
          <w:lang w:val="en-US"/>
        </w:rPr>
      </w:pPr>
      <w:r w:rsidRPr="00D5072E">
        <w:rPr>
          <w:rStyle w:val="FootnoteReference"/>
          <w:rFonts w:asciiTheme="minorHAnsi" w:hAnsiTheme="minorHAnsi"/>
          <w:sz w:val="24"/>
        </w:rPr>
        <w:footnoteRef/>
      </w:r>
      <w:r w:rsidRPr="00D5072E">
        <w:rPr>
          <w:rFonts w:asciiTheme="minorHAnsi" w:hAnsiTheme="minorHAnsi"/>
          <w:sz w:val="24"/>
        </w:rPr>
        <w:t xml:space="preserve"> 91 applicants self-identified in 2015; 17 fewer self-identified in 2016.</w:t>
      </w:r>
    </w:p>
  </w:footnote>
  <w:footnote w:id="6">
    <w:p w14:paraId="3B11516A" w14:textId="77777777" w:rsidR="004500D2" w:rsidRPr="00D5072E" w:rsidRDefault="004500D2" w:rsidP="005A1476">
      <w:pPr>
        <w:pStyle w:val="FootnoteText"/>
        <w:rPr>
          <w:rFonts w:asciiTheme="minorHAnsi" w:hAnsiTheme="minorHAnsi"/>
          <w:lang w:val="en-US"/>
        </w:rPr>
      </w:pPr>
      <w:r w:rsidRPr="00D5072E">
        <w:rPr>
          <w:rStyle w:val="FootnoteReference"/>
          <w:rFonts w:asciiTheme="minorHAnsi" w:hAnsiTheme="minorHAnsi"/>
          <w:sz w:val="24"/>
        </w:rPr>
        <w:footnoteRef/>
      </w:r>
      <w:r w:rsidRPr="00D5072E">
        <w:rPr>
          <w:rFonts w:asciiTheme="minorHAnsi" w:hAnsiTheme="minorHAnsi"/>
          <w:sz w:val="24"/>
        </w:rPr>
        <w:t xml:space="preserve"> 535</w:t>
      </w:r>
      <w:r>
        <w:rPr>
          <w:rFonts w:asciiTheme="minorHAnsi" w:hAnsiTheme="minorHAnsi"/>
          <w:sz w:val="24"/>
        </w:rPr>
        <w:t xml:space="preserve"> students entered York’s consecutive program in 2016, compared to 391 in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E4EE8" w14:textId="77777777" w:rsidR="004500D2" w:rsidRDefault="00450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A9E0" w14:textId="77777777" w:rsidR="004500D2" w:rsidRDefault="00450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AC24" w14:textId="77777777" w:rsidR="004500D2" w:rsidRDefault="00450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D83"/>
    <w:multiLevelType w:val="hybridMultilevel"/>
    <w:tmpl w:val="198A1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67A36"/>
    <w:multiLevelType w:val="hybridMultilevel"/>
    <w:tmpl w:val="BD2C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57028"/>
    <w:multiLevelType w:val="hybridMultilevel"/>
    <w:tmpl w:val="F3E8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B25E7"/>
    <w:multiLevelType w:val="hybridMultilevel"/>
    <w:tmpl w:val="85F6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37607"/>
    <w:multiLevelType w:val="hybridMultilevel"/>
    <w:tmpl w:val="A216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C75EB"/>
    <w:multiLevelType w:val="hybridMultilevel"/>
    <w:tmpl w:val="1AC2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98"/>
    <w:rsid w:val="0000776E"/>
    <w:rsid w:val="0001046F"/>
    <w:rsid w:val="00012D27"/>
    <w:rsid w:val="00013845"/>
    <w:rsid w:val="0001453D"/>
    <w:rsid w:val="00015357"/>
    <w:rsid w:val="00015B65"/>
    <w:rsid w:val="00016516"/>
    <w:rsid w:val="00020380"/>
    <w:rsid w:val="00021ADA"/>
    <w:rsid w:val="00022A18"/>
    <w:rsid w:val="000266C3"/>
    <w:rsid w:val="00032109"/>
    <w:rsid w:val="000412F9"/>
    <w:rsid w:val="00041F85"/>
    <w:rsid w:val="00041FE1"/>
    <w:rsid w:val="00043E03"/>
    <w:rsid w:val="00045231"/>
    <w:rsid w:val="000456E5"/>
    <w:rsid w:val="000617BB"/>
    <w:rsid w:val="000703C2"/>
    <w:rsid w:val="0007150A"/>
    <w:rsid w:val="000733FD"/>
    <w:rsid w:val="000735E2"/>
    <w:rsid w:val="000764E3"/>
    <w:rsid w:val="00076976"/>
    <w:rsid w:val="0008480E"/>
    <w:rsid w:val="00086886"/>
    <w:rsid w:val="00090ACF"/>
    <w:rsid w:val="00093612"/>
    <w:rsid w:val="00093975"/>
    <w:rsid w:val="00094025"/>
    <w:rsid w:val="000A358E"/>
    <w:rsid w:val="000A3C39"/>
    <w:rsid w:val="000A6420"/>
    <w:rsid w:val="000B102D"/>
    <w:rsid w:val="000B20A3"/>
    <w:rsid w:val="000B22BD"/>
    <w:rsid w:val="000B2ABE"/>
    <w:rsid w:val="000D095A"/>
    <w:rsid w:val="000D1F04"/>
    <w:rsid w:val="000D6F91"/>
    <w:rsid w:val="000D780A"/>
    <w:rsid w:val="000D79B6"/>
    <w:rsid w:val="000E280C"/>
    <w:rsid w:val="000E664A"/>
    <w:rsid w:val="000F3771"/>
    <w:rsid w:val="000F3889"/>
    <w:rsid w:val="000F3B2A"/>
    <w:rsid w:val="00101668"/>
    <w:rsid w:val="00106E80"/>
    <w:rsid w:val="00112E0F"/>
    <w:rsid w:val="00115678"/>
    <w:rsid w:val="001206BC"/>
    <w:rsid w:val="00124346"/>
    <w:rsid w:val="00131884"/>
    <w:rsid w:val="00132C66"/>
    <w:rsid w:val="001331D5"/>
    <w:rsid w:val="00141D48"/>
    <w:rsid w:val="00150B9E"/>
    <w:rsid w:val="00152104"/>
    <w:rsid w:val="001528E6"/>
    <w:rsid w:val="001556F8"/>
    <w:rsid w:val="0015647E"/>
    <w:rsid w:val="00157461"/>
    <w:rsid w:val="00160EB4"/>
    <w:rsid w:val="00162725"/>
    <w:rsid w:val="00172E00"/>
    <w:rsid w:val="0017500D"/>
    <w:rsid w:val="00177FDF"/>
    <w:rsid w:val="0018101C"/>
    <w:rsid w:val="001813A7"/>
    <w:rsid w:val="001825BE"/>
    <w:rsid w:val="00186895"/>
    <w:rsid w:val="00193A67"/>
    <w:rsid w:val="00195868"/>
    <w:rsid w:val="00197E38"/>
    <w:rsid w:val="001A0717"/>
    <w:rsid w:val="001A1C2E"/>
    <w:rsid w:val="001B08D2"/>
    <w:rsid w:val="001B2E63"/>
    <w:rsid w:val="001B34AD"/>
    <w:rsid w:val="001B5EAF"/>
    <w:rsid w:val="001B6435"/>
    <w:rsid w:val="001C3F10"/>
    <w:rsid w:val="001C5BD6"/>
    <w:rsid w:val="001C61DE"/>
    <w:rsid w:val="001D2B22"/>
    <w:rsid w:val="001D3D7C"/>
    <w:rsid w:val="001D4170"/>
    <w:rsid w:val="001D4FB9"/>
    <w:rsid w:val="001D5259"/>
    <w:rsid w:val="001D74EF"/>
    <w:rsid w:val="001E0FE2"/>
    <w:rsid w:val="001E2CF5"/>
    <w:rsid w:val="001E743F"/>
    <w:rsid w:val="001F4C41"/>
    <w:rsid w:val="00201311"/>
    <w:rsid w:val="00204E0C"/>
    <w:rsid w:val="00205125"/>
    <w:rsid w:val="0020723E"/>
    <w:rsid w:val="00213898"/>
    <w:rsid w:val="00227E60"/>
    <w:rsid w:val="00230FCB"/>
    <w:rsid w:val="00232C8B"/>
    <w:rsid w:val="00233190"/>
    <w:rsid w:val="0024414D"/>
    <w:rsid w:val="00252EE9"/>
    <w:rsid w:val="002576DD"/>
    <w:rsid w:val="00260EF1"/>
    <w:rsid w:val="0027267F"/>
    <w:rsid w:val="00274434"/>
    <w:rsid w:val="0027700F"/>
    <w:rsid w:val="00277E30"/>
    <w:rsid w:val="00277F02"/>
    <w:rsid w:val="00286FDA"/>
    <w:rsid w:val="002874AE"/>
    <w:rsid w:val="00287949"/>
    <w:rsid w:val="00293E37"/>
    <w:rsid w:val="002A3B08"/>
    <w:rsid w:val="002A7671"/>
    <w:rsid w:val="002B3BD1"/>
    <w:rsid w:val="002B4B1E"/>
    <w:rsid w:val="002B4B91"/>
    <w:rsid w:val="002B5C99"/>
    <w:rsid w:val="002B607F"/>
    <w:rsid w:val="002B66B3"/>
    <w:rsid w:val="002C44CA"/>
    <w:rsid w:val="002C516A"/>
    <w:rsid w:val="002C5919"/>
    <w:rsid w:val="002C5944"/>
    <w:rsid w:val="002C6233"/>
    <w:rsid w:val="002D1408"/>
    <w:rsid w:val="002D2048"/>
    <w:rsid w:val="002E094E"/>
    <w:rsid w:val="002E0FDA"/>
    <w:rsid w:val="002E5C41"/>
    <w:rsid w:val="002F237C"/>
    <w:rsid w:val="002F4D93"/>
    <w:rsid w:val="0030291C"/>
    <w:rsid w:val="00302C9A"/>
    <w:rsid w:val="00302D6C"/>
    <w:rsid w:val="003035FC"/>
    <w:rsid w:val="00305284"/>
    <w:rsid w:val="00306633"/>
    <w:rsid w:val="00311340"/>
    <w:rsid w:val="00313A08"/>
    <w:rsid w:val="00323A76"/>
    <w:rsid w:val="003245F2"/>
    <w:rsid w:val="00331834"/>
    <w:rsid w:val="00331C42"/>
    <w:rsid w:val="00336517"/>
    <w:rsid w:val="00337833"/>
    <w:rsid w:val="00345096"/>
    <w:rsid w:val="00347976"/>
    <w:rsid w:val="00352AF0"/>
    <w:rsid w:val="003539A4"/>
    <w:rsid w:val="0036335C"/>
    <w:rsid w:val="00365F60"/>
    <w:rsid w:val="00374EB6"/>
    <w:rsid w:val="00377075"/>
    <w:rsid w:val="003874B3"/>
    <w:rsid w:val="00395B1B"/>
    <w:rsid w:val="003963FB"/>
    <w:rsid w:val="00397FAD"/>
    <w:rsid w:val="003A5B2D"/>
    <w:rsid w:val="003B1EAB"/>
    <w:rsid w:val="003B4C10"/>
    <w:rsid w:val="003C44D6"/>
    <w:rsid w:val="003C48CE"/>
    <w:rsid w:val="003D0445"/>
    <w:rsid w:val="003D7B4B"/>
    <w:rsid w:val="003E3EA4"/>
    <w:rsid w:val="003E455E"/>
    <w:rsid w:val="003E6B32"/>
    <w:rsid w:val="003F223A"/>
    <w:rsid w:val="003F6014"/>
    <w:rsid w:val="003F6D4A"/>
    <w:rsid w:val="00416B04"/>
    <w:rsid w:val="00420235"/>
    <w:rsid w:val="004233D7"/>
    <w:rsid w:val="0042405D"/>
    <w:rsid w:val="00425B41"/>
    <w:rsid w:val="00425C27"/>
    <w:rsid w:val="00432EB5"/>
    <w:rsid w:val="00433E78"/>
    <w:rsid w:val="00437E4E"/>
    <w:rsid w:val="0044042B"/>
    <w:rsid w:val="00442811"/>
    <w:rsid w:val="00446620"/>
    <w:rsid w:val="00447803"/>
    <w:rsid w:val="004500D2"/>
    <w:rsid w:val="00455506"/>
    <w:rsid w:val="0045706E"/>
    <w:rsid w:val="00462C42"/>
    <w:rsid w:val="00462C6E"/>
    <w:rsid w:val="00464E90"/>
    <w:rsid w:val="00470657"/>
    <w:rsid w:val="0048459B"/>
    <w:rsid w:val="00492410"/>
    <w:rsid w:val="004A4DB4"/>
    <w:rsid w:val="004A4FF3"/>
    <w:rsid w:val="004B2BB5"/>
    <w:rsid w:val="004B2C7D"/>
    <w:rsid w:val="004B3634"/>
    <w:rsid w:val="004C79B4"/>
    <w:rsid w:val="004D058A"/>
    <w:rsid w:val="004D08C7"/>
    <w:rsid w:val="004D0E9B"/>
    <w:rsid w:val="004D55E7"/>
    <w:rsid w:val="004E6A29"/>
    <w:rsid w:val="004F2441"/>
    <w:rsid w:val="004F3198"/>
    <w:rsid w:val="004F4910"/>
    <w:rsid w:val="004F4D72"/>
    <w:rsid w:val="004F6373"/>
    <w:rsid w:val="005039B1"/>
    <w:rsid w:val="005042B1"/>
    <w:rsid w:val="00504BDD"/>
    <w:rsid w:val="00507FFC"/>
    <w:rsid w:val="0051055A"/>
    <w:rsid w:val="005175C4"/>
    <w:rsid w:val="0052099A"/>
    <w:rsid w:val="00523D56"/>
    <w:rsid w:val="0052639F"/>
    <w:rsid w:val="00527A07"/>
    <w:rsid w:val="0053177B"/>
    <w:rsid w:val="0053237D"/>
    <w:rsid w:val="00540111"/>
    <w:rsid w:val="005405A4"/>
    <w:rsid w:val="0054432C"/>
    <w:rsid w:val="0055080C"/>
    <w:rsid w:val="00550D89"/>
    <w:rsid w:val="00554782"/>
    <w:rsid w:val="00555BEF"/>
    <w:rsid w:val="005627AD"/>
    <w:rsid w:val="00570CEB"/>
    <w:rsid w:val="00584625"/>
    <w:rsid w:val="0058775D"/>
    <w:rsid w:val="00591527"/>
    <w:rsid w:val="005973CD"/>
    <w:rsid w:val="00597B9D"/>
    <w:rsid w:val="005A1476"/>
    <w:rsid w:val="005A3CFE"/>
    <w:rsid w:val="005B3013"/>
    <w:rsid w:val="005C207E"/>
    <w:rsid w:val="005C72B5"/>
    <w:rsid w:val="005C7CE2"/>
    <w:rsid w:val="005D2F27"/>
    <w:rsid w:val="005D4952"/>
    <w:rsid w:val="005D7FEB"/>
    <w:rsid w:val="005E3CD5"/>
    <w:rsid w:val="005F534E"/>
    <w:rsid w:val="00607420"/>
    <w:rsid w:val="0061035D"/>
    <w:rsid w:val="00612CC6"/>
    <w:rsid w:val="00612FB2"/>
    <w:rsid w:val="00617C80"/>
    <w:rsid w:val="00622393"/>
    <w:rsid w:val="00623C6B"/>
    <w:rsid w:val="006243A4"/>
    <w:rsid w:val="006253B6"/>
    <w:rsid w:val="00625DD4"/>
    <w:rsid w:val="006335F3"/>
    <w:rsid w:val="00636A50"/>
    <w:rsid w:val="00644E28"/>
    <w:rsid w:val="0064685A"/>
    <w:rsid w:val="00647D53"/>
    <w:rsid w:val="006524BF"/>
    <w:rsid w:val="0065433D"/>
    <w:rsid w:val="006544F5"/>
    <w:rsid w:val="006546FB"/>
    <w:rsid w:val="006619E4"/>
    <w:rsid w:val="00662C9A"/>
    <w:rsid w:val="0066369C"/>
    <w:rsid w:val="0066546D"/>
    <w:rsid w:val="00665668"/>
    <w:rsid w:val="006679EB"/>
    <w:rsid w:val="006741AD"/>
    <w:rsid w:val="006744E6"/>
    <w:rsid w:val="00674C03"/>
    <w:rsid w:val="006851D4"/>
    <w:rsid w:val="006906E1"/>
    <w:rsid w:val="00693284"/>
    <w:rsid w:val="006A3502"/>
    <w:rsid w:val="006A565E"/>
    <w:rsid w:val="006B1170"/>
    <w:rsid w:val="006B68A0"/>
    <w:rsid w:val="006B7792"/>
    <w:rsid w:val="006C2831"/>
    <w:rsid w:val="006C43AD"/>
    <w:rsid w:val="006C79AA"/>
    <w:rsid w:val="006D1BB5"/>
    <w:rsid w:val="006D7388"/>
    <w:rsid w:val="006E25E9"/>
    <w:rsid w:val="006E67B6"/>
    <w:rsid w:val="006F11CA"/>
    <w:rsid w:val="006F4BE4"/>
    <w:rsid w:val="0071009D"/>
    <w:rsid w:val="00712618"/>
    <w:rsid w:val="0071284E"/>
    <w:rsid w:val="007223A1"/>
    <w:rsid w:val="007241E4"/>
    <w:rsid w:val="007270A7"/>
    <w:rsid w:val="0073526E"/>
    <w:rsid w:val="00740CF5"/>
    <w:rsid w:val="0074138F"/>
    <w:rsid w:val="00742120"/>
    <w:rsid w:val="00743994"/>
    <w:rsid w:val="0074726E"/>
    <w:rsid w:val="007528A0"/>
    <w:rsid w:val="00755479"/>
    <w:rsid w:val="00760831"/>
    <w:rsid w:val="00761850"/>
    <w:rsid w:val="00763FB4"/>
    <w:rsid w:val="007747FE"/>
    <w:rsid w:val="00776A7B"/>
    <w:rsid w:val="00781A28"/>
    <w:rsid w:val="00782592"/>
    <w:rsid w:val="007829FF"/>
    <w:rsid w:val="007830D9"/>
    <w:rsid w:val="00786D11"/>
    <w:rsid w:val="007917F1"/>
    <w:rsid w:val="0079726F"/>
    <w:rsid w:val="007A088E"/>
    <w:rsid w:val="007A2081"/>
    <w:rsid w:val="007A35ED"/>
    <w:rsid w:val="007A4226"/>
    <w:rsid w:val="007B1654"/>
    <w:rsid w:val="007B5CFB"/>
    <w:rsid w:val="007B5F65"/>
    <w:rsid w:val="007B63A6"/>
    <w:rsid w:val="007B714F"/>
    <w:rsid w:val="007B75D9"/>
    <w:rsid w:val="007C11FA"/>
    <w:rsid w:val="007C2F43"/>
    <w:rsid w:val="007C5467"/>
    <w:rsid w:val="007C55CD"/>
    <w:rsid w:val="007C6CC1"/>
    <w:rsid w:val="007D6F0A"/>
    <w:rsid w:val="007D7017"/>
    <w:rsid w:val="007D71FC"/>
    <w:rsid w:val="007E359B"/>
    <w:rsid w:val="007F37C2"/>
    <w:rsid w:val="008015E7"/>
    <w:rsid w:val="00802460"/>
    <w:rsid w:val="00804392"/>
    <w:rsid w:val="00805D08"/>
    <w:rsid w:val="00807D3A"/>
    <w:rsid w:val="00810C05"/>
    <w:rsid w:val="0081203B"/>
    <w:rsid w:val="0082305E"/>
    <w:rsid w:val="00824379"/>
    <w:rsid w:val="0082463E"/>
    <w:rsid w:val="00825AC1"/>
    <w:rsid w:val="00826BA3"/>
    <w:rsid w:val="00827D0D"/>
    <w:rsid w:val="008334F2"/>
    <w:rsid w:val="00833836"/>
    <w:rsid w:val="008433D7"/>
    <w:rsid w:val="008469C9"/>
    <w:rsid w:val="008566F6"/>
    <w:rsid w:val="0086137D"/>
    <w:rsid w:val="00864DEC"/>
    <w:rsid w:val="0086596A"/>
    <w:rsid w:val="0086606C"/>
    <w:rsid w:val="008736C9"/>
    <w:rsid w:val="00883114"/>
    <w:rsid w:val="0089660A"/>
    <w:rsid w:val="00897DE8"/>
    <w:rsid w:val="008A0A66"/>
    <w:rsid w:val="008A42AD"/>
    <w:rsid w:val="008A77E8"/>
    <w:rsid w:val="008B0488"/>
    <w:rsid w:val="008B3560"/>
    <w:rsid w:val="008B7B83"/>
    <w:rsid w:val="008C1EB5"/>
    <w:rsid w:val="008D08E8"/>
    <w:rsid w:val="008D3663"/>
    <w:rsid w:val="008D4B60"/>
    <w:rsid w:val="008E1FF6"/>
    <w:rsid w:val="008E3449"/>
    <w:rsid w:val="008E673C"/>
    <w:rsid w:val="008F40FE"/>
    <w:rsid w:val="00904928"/>
    <w:rsid w:val="00905A2D"/>
    <w:rsid w:val="00905C5C"/>
    <w:rsid w:val="00920A2F"/>
    <w:rsid w:val="00923408"/>
    <w:rsid w:val="0092716A"/>
    <w:rsid w:val="00927A97"/>
    <w:rsid w:val="00931C86"/>
    <w:rsid w:val="00932785"/>
    <w:rsid w:val="00932BCA"/>
    <w:rsid w:val="00932D7D"/>
    <w:rsid w:val="00935DEC"/>
    <w:rsid w:val="00937EE9"/>
    <w:rsid w:val="00941BC8"/>
    <w:rsid w:val="00945517"/>
    <w:rsid w:val="00946E29"/>
    <w:rsid w:val="00951AD1"/>
    <w:rsid w:val="00952647"/>
    <w:rsid w:val="00954294"/>
    <w:rsid w:val="00956610"/>
    <w:rsid w:val="00956730"/>
    <w:rsid w:val="00960468"/>
    <w:rsid w:val="009628B9"/>
    <w:rsid w:val="00963319"/>
    <w:rsid w:val="00967DA0"/>
    <w:rsid w:val="0097385E"/>
    <w:rsid w:val="00980AAE"/>
    <w:rsid w:val="00980B64"/>
    <w:rsid w:val="00984DF7"/>
    <w:rsid w:val="00986AA6"/>
    <w:rsid w:val="009905BA"/>
    <w:rsid w:val="00990A4E"/>
    <w:rsid w:val="009915EB"/>
    <w:rsid w:val="00992AB1"/>
    <w:rsid w:val="00996B1E"/>
    <w:rsid w:val="009A2EC7"/>
    <w:rsid w:val="009B1548"/>
    <w:rsid w:val="009B1F40"/>
    <w:rsid w:val="009B2D7D"/>
    <w:rsid w:val="009B4E29"/>
    <w:rsid w:val="009B6345"/>
    <w:rsid w:val="009B71AA"/>
    <w:rsid w:val="009D0144"/>
    <w:rsid w:val="009D22B7"/>
    <w:rsid w:val="009D2ABE"/>
    <w:rsid w:val="009D3183"/>
    <w:rsid w:val="009D3B58"/>
    <w:rsid w:val="009D4248"/>
    <w:rsid w:val="009D6093"/>
    <w:rsid w:val="009E1F0D"/>
    <w:rsid w:val="009F4528"/>
    <w:rsid w:val="009F661D"/>
    <w:rsid w:val="009F7212"/>
    <w:rsid w:val="00A01D12"/>
    <w:rsid w:val="00A0226E"/>
    <w:rsid w:val="00A03F9A"/>
    <w:rsid w:val="00A10728"/>
    <w:rsid w:val="00A14256"/>
    <w:rsid w:val="00A1635A"/>
    <w:rsid w:val="00A16544"/>
    <w:rsid w:val="00A20799"/>
    <w:rsid w:val="00A208C6"/>
    <w:rsid w:val="00A22244"/>
    <w:rsid w:val="00A4046F"/>
    <w:rsid w:val="00A43145"/>
    <w:rsid w:val="00A45E24"/>
    <w:rsid w:val="00A47198"/>
    <w:rsid w:val="00A5005A"/>
    <w:rsid w:val="00A52045"/>
    <w:rsid w:val="00A5542F"/>
    <w:rsid w:val="00A55799"/>
    <w:rsid w:val="00A56FB9"/>
    <w:rsid w:val="00A63D34"/>
    <w:rsid w:val="00A70343"/>
    <w:rsid w:val="00A73B45"/>
    <w:rsid w:val="00A763D9"/>
    <w:rsid w:val="00A80EA4"/>
    <w:rsid w:val="00A8510B"/>
    <w:rsid w:val="00A92CF2"/>
    <w:rsid w:val="00A933AC"/>
    <w:rsid w:val="00A94B82"/>
    <w:rsid w:val="00A95701"/>
    <w:rsid w:val="00A9604D"/>
    <w:rsid w:val="00AA1DE2"/>
    <w:rsid w:val="00AB1735"/>
    <w:rsid w:val="00AC02EC"/>
    <w:rsid w:val="00AC5379"/>
    <w:rsid w:val="00AC5D68"/>
    <w:rsid w:val="00AC5E07"/>
    <w:rsid w:val="00AD1C09"/>
    <w:rsid w:val="00AD306E"/>
    <w:rsid w:val="00AD3FA9"/>
    <w:rsid w:val="00AD7B58"/>
    <w:rsid w:val="00AE0833"/>
    <w:rsid w:val="00AE10CC"/>
    <w:rsid w:val="00AE7726"/>
    <w:rsid w:val="00AF2766"/>
    <w:rsid w:val="00AF3AE8"/>
    <w:rsid w:val="00AF56D9"/>
    <w:rsid w:val="00AF74BC"/>
    <w:rsid w:val="00B01CC1"/>
    <w:rsid w:val="00B05299"/>
    <w:rsid w:val="00B07F01"/>
    <w:rsid w:val="00B2071F"/>
    <w:rsid w:val="00B22462"/>
    <w:rsid w:val="00B22E0E"/>
    <w:rsid w:val="00B23FF1"/>
    <w:rsid w:val="00B26E12"/>
    <w:rsid w:val="00B30402"/>
    <w:rsid w:val="00B37FB4"/>
    <w:rsid w:val="00B4060A"/>
    <w:rsid w:val="00B435EB"/>
    <w:rsid w:val="00B452AB"/>
    <w:rsid w:val="00B46BEE"/>
    <w:rsid w:val="00B538D0"/>
    <w:rsid w:val="00B56789"/>
    <w:rsid w:val="00B60789"/>
    <w:rsid w:val="00B64FC4"/>
    <w:rsid w:val="00B65E9D"/>
    <w:rsid w:val="00B66385"/>
    <w:rsid w:val="00B72109"/>
    <w:rsid w:val="00B7472C"/>
    <w:rsid w:val="00B7599D"/>
    <w:rsid w:val="00B77595"/>
    <w:rsid w:val="00B822DD"/>
    <w:rsid w:val="00B85432"/>
    <w:rsid w:val="00B969AF"/>
    <w:rsid w:val="00BA3419"/>
    <w:rsid w:val="00BA4491"/>
    <w:rsid w:val="00BA7337"/>
    <w:rsid w:val="00BB046C"/>
    <w:rsid w:val="00BB45D9"/>
    <w:rsid w:val="00BB5563"/>
    <w:rsid w:val="00BB56BD"/>
    <w:rsid w:val="00BB60EC"/>
    <w:rsid w:val="00BB7169"/>
    <w:rsid w:val="00BC1448"/>
    <w:rsid w:val="00BC2605"/>
    <w:rsid w:val="00BC44CB"/>
    <w:rsid w:val="00BC4CC1"/>
    <w:rsid w:val="00BC532C"/>
    <w:rsid w:val="00BE37F0"/>
    <w:rsid w:val="00BE3966"/>
    <w:rsid w:val="00BE39A0"/>
    <w:rsid w:val="00BE6EF4"/>
    <w:rsid w:val="00BE72AB"/>
    <w:rsid w:val="00BF12BE"/>
    <w:rsid w:val="00BF1357"/>
    <w:rsid w:val="00BF2563"/>
    <w:rsid w:val="00BF2EF4"/>
    <w:rsid w:val="00BF4D76"/>
    <w:rsid w:val="00BF689B"/>
    <w:rsid w:val="00BF6C85"/>
    <w:rsid w:val="00C003B4"/>
    <w:rsid w:val="00C047D7"/>
    <w:rsid w:val="00C11E65"/>
    <w:rsid w:val="00C12276"/>
    <w:rsid w:val="00C1501A"/>
    <w:rsid w:val="00C15D88"/>
    <w:rsid w:val="00C27028"/>
    <w:rsid w:val="00C32331"/>
    <w:rsid w:val="00C4090E"/>
    <w:rsid w:val="00C421AE"/>
    <w:rsid w:val="00C42FBF"/>
    <w:rsid w:val="00C44456"/>
    <w:rsid w:val="00C532E2"/>
    <w:rsid w:val="00C56EF7"/>
    <w:rsid w:val="00C60871"/>
    <w:rsid w:val="00C752BF"/>
    <w:rsid w:val="00C753EE"/>
    <w:rsid w:val="00C76AE8"/>
    <w:rsid w:val="00C77BB8"/>
    <w:rsid w:val="00C821A9"/>
    <w:rsid w:val="00C93F44"/>
    <w:rsid w:val="00C966DE"/>
    <w:rsid w:val="00C96ACF"/>
    <w:rsid w:val="00CA21B9"/>
    <w:rsid w:val="00CA242E"/>
    <w:rsid w:val="00CA4BF0"/>
    <w:rsid w:val="00CA62E4"/>
    <w:rsid w:val="00CA63C8"/>
    <w:rsid w:val="00CB147C"/>
    <w:rsid w:val="00CB2B82"/>
    <w:rsid w:val="00CB364F"/>
    <w:rsid w:val="00CC315F"/>
    <w:rsid w:val="00CC4854"/>
    <w:rsid w:val="00CC7507"/>
    <w:rsid w:val="00CD16AA"/>
    <w:rsid w:val="00CD27B6"/>
    <w:rsid w:val="00CD31AA"/>
    <w:rsid w:val="00CD6D82"/>
    <w:rsid w:val="00CE10A0"/>
    <w:rsid w:val="00CE537C"/>
    <w:rsid w:val="00CF5501"/>
    <w:rsid w:val="00D10A4C"/>
    <w:rsid w:val="00D11361"/>
    <w:rsid w:val="00D136B3"/>
    <w:rsid w:val="00D221E0"/>
    <w:rsid w:val="00D23A1A"/>
    <w:rsid w:val="00D27ED0"/>
    <w:rsid w:val="00D30F5B"/>
    <w:rsid w:val="00D310DC"/>
    <w:rsid w:val="00D35B34"/>
    <w:rsid w:val="00D37DB4"/>
    <w:rsid w:val="00D42861"/>
    <w:rsid w:val="00D44B16"/>
    <w:rsid w:val="00D464C2"/>
    <w:rsid w:val="00D4669A"/>
    <w:rsid w:val="00D46AFC"/>
    <w:rsid w:val="00D47992"/>
    <w:rsid w:val="00D5072E"/>
    <w:rsid w:val="00D53570"/>
    <w:rsid w:val="00D568AE"/>
    <w:rsid w:val="00D57E05"/>
    <w:rsid w:val="00D622DD"/>
    <w:rsid w:val="00D84DFF"/>
    <w:rsid w:val="00D9049B"/>
    <w:rsid w:val="00D91E9A"/>
    <w:rsid w:val="00D921A0"/>
    <w:rsid w:val="00D9399F"/>
    <w:rsid w:val="00D949AB"/>
    <w:rsid w:val="00D97AB2"/>
    <w:rsid w:val="00D97BD2"/>
    <w:rsid w:val="00DA5ACF"/>
    <w:rsid w:val="00DA6909"/>
    <w:rsid w:val="00DC6505"/>
    <w:rsid w:val="00DC6D6B"/>
    <w:rsid w:val="00DD302F"/>
    <w:rsid w:val="00DD3033"/>
    <w:rsid w:val="00DD4AD1"/>
    <w:rsid w:val="00DD569E"/>
    <w:rsid w:val="00DD74B6"/>
    <w:rsid w:val="00DE01E1"/>
    <w:rsid w:val="00DE02DC"/>
    <w:rsid w:val="00DE11C3"/>
    <w:rsid w:val="00DE24B0"/>
    <w:rsid w:val="00DE5D40"/>
    <w:rsid w:val="00DE6728"/>
    <w:rsid w:val="00DE6A08"/>
    <w:rsid w:val="00DF73A8"/>
    <w:rsid w:val="00DF7660"/>
    <w:rsid w:val="00DF7D40"/>
    <w:rsid w:val="00E012DD"/>
    <w:rsid w:val="00E03D5F"/>
    <w:rsid w:val="00E05858"/>
    <w:rsid w:val="00E06A5D"/>
    <w:rsid w:val="00E07F09"/>
    <w:rsid w:val="00E105A8"/>
    <w:rsid w:val="00E10BC5"/>
    <w:rsid w:val="00E12B22"/>
    <w:rsid w:val="00E13A9B"/>
    <w:rsid w:val="00E21E24"/>
    <w:rsid w:val="00E253E9"/>
    <w:rsid w:val="00E3257C"/>
    <w:rsid w:val="00E329FF"/>
    <w:rsid w:val="00E34F07"/>
    <w:rsid w:val="00E36B06"/>
    <w:rsid w:val="00E41392"/>
    <w:rsid w:val="00E45053"/>
    <w:rsid w:val="00E45ACA"/>
    <w:rsid w:val="00E46BD8"/>
    <w:rsid w:val="00E47FEC"/>
    <w:rsid w:val="00E52D12"/>
    <w:rsid w:val="00E57107"/>
    <w:rsid w:val="00E63509"/>
    <w:rsid w:val="00E653FB"/>
    <w:rsid w:val="00E70124"/>
    <w:rsid w:val="00E70447"/>
    <w:rsid w:val="00E8060F"/>
    <w:rsid w:val="00E80EA1"/>
    <w:rsid w:val="00E8386D"/>
    <w:rsid w:val="00E84055"/>
    <w:rsid w:val="00E84686"/>
    <w:rsid w:val="00E8469D"/>
    <w:rsid w:val="00E86481"/>
    <w:rsid w:val="00E86DCD"/>
    <w:rsid w:val="00E923C8"/>
    <w:rsid w:val="00E927FD"/>
    <w:rsid w:val="00E93C1C"/>
    <w:rsid w:val="00E95CA8"/>
    <w:rsid w:val="00E95CBD"/>
    <w:rsid w:val="00EA1ECA"/>
    <w:rsid w:val="00EA2085"/>
    <w:rsid w:val="00EA3334"/>
    <w:rsid w:val="00EA4919"/>
    <w:rsid w:val="00EA4AC4"/>
    <w:rsid w:val="00EB0A10"/>
    <w:rsid w:val="00EB1F8A"/>
    <w:rsid w:val="00EB4D8F"/>
    <w:rsid w:val="00EC31F4"/>
    <w:rsid w:val="00EC4731"/>
    <w:rsid w:val="00EC4D77"/>
    <w:rsid w:val="00EC61B4"/>
    <w:rsid w:val="00EC6B13"/>
    <w:rsid w:val="00EC6F08"/>
    <w:rsid w:val="00ED01E6"/>
    <w:rsid w:val="00ED1DD0"/>
    <w:rsid w:val="00ED2E3B"/>
    <w:rsid w:val="00ED5E54"/>
    <w:rsid w:val="00ED6105"/>
    <w:rsid w:val="00EE0C7F"/>
    <w:rsid w:val="00EE1B64"/>
    <w:rsid w:val="00EE28BB"/>
    <w:rsid w:val="00EF2B4C"/>
    <w:rsid w:val="00EF55AF"/>
    <w:rsid w:val="00EF5FEC"/>
    <w:rsid w:val="00EF720E"/>
    <w:rsid w:val="00EF7805"/>
    <w:rsid w:val="00F0725A"/>
    <w:rsid w:val="00F12647"/>
    <w:rsid w:val="00F2048F"/>
    <w:rsid w:val="00F21640"/>
    <w:rsid w:val="00F26884"/>
    <w:rsid w:val="00F27D5D"/>
    <w:rsid w:val="00F30F7D"/>
    <w:rsid w:val="00F37198"/>
    <w:rsid w:val="00F44468"/>
    <w:rsid w:val="00F47909"/>
    <w:rsid w:val="00F47D9F"/>
    <w:rsid w:val="00F50099"/>
    <w:rsid w:val="00F54897"/>
    <w:rsid w:val="00F57024"/>
    <w:rsid w:val="00F67D45"/>
    <w:rsid w:val="00F71F48"/>
    <w:rsid w:val="00F734C3"/>
    <w:rsid w:val="00F80DAA"/>
    <w:rsid w:val="00F87B5F"/>
    <w:rsid w:val="00F87C2D"/>
    <w:rsid w:val="00F87F76"/>
    <w:rsid w:val="00F92449"/>
    <w:rsid w:val="00F928A2"/>
    <w:rsid w:val="00F94C4F"/>
    <w:rsid w:val="00F96C25"/>
    <w:rsid w:val="00F96E11"/>
    <w:rsid w:val="00F97060"/>
    <w:rsid w:val="00F97D15"/>
    <w:rsid w:val="00FA42E8"/>
    <w:rsid w:val="00FA5F08"/>
    <w:rsid w:val="00FB1E51"/>
    <w:rsid w:val="00FB6A12"/>
    <w:rsid w:val="00FC1B50"/>
    <w:rsid w:val="00FD37C0"/>
    <w:rsid w:val="00FD4AA2"/>
    <w:rsid w:val="00FE0040"/>
    <w:rsid w:val="00FE081A"/>
    <w:rsid w:val="00FE23A2"/>
    <w:rsid w:val="00FE3A08"/>
    <w:rsid w:val="00FE46F8"/>
    <w:rsid w:val="00FE5032"/>
    <w:rsid w:val="00FF0B87"/>
    <w:rsid w:val="00FF1308"/>
    <w:rsid w:val="00FF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2F6759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198"/>
    <w:rPr>
      <w:sz w:val="24"/>
      <w:szCs w:val="24"/>
      <w:lang w:val="en-GB"/>
    </w:rPr>
  </w:style>
  <w:style w:type="paragraph" w:customStyle="1" w:styleId="Default">
    <w:name w:val="Default"/>
    <w:rsid w:val="00A47198"/>
    <w:pPr>
      <w:autoSpaceDE w:val="0"/>
      <w:autoSpaceDN w:val="0"/>
      <w:adjustRightInd w:val="0"/>
    </w:pPr>
    <w:rPr>
      <w:color w:val="000000"/>
      <w:sz w:val="24"/>
      <w:szCs w:val="24"/>
    </w:rPr>
  </w:style>
  <w:style w:type="character" w:styleId="Hyperlink">
    <w:name w:val="Hyperlink"/>
    <w:basedOn w:val="DefaultParagraphFont"/>
    <w:uiPriority w:val="99"/>
    <w:unhideWhenUsed/>
    <w:rsid w:val="004F6373"/>
    <w:rPr>
      <w:color w:val="0563C1" w:themeColor="hyperlink"/>
      <w:u w:val="single"/>
    </w:rPr>
  </w:style>
  <w:style w:type="paragraph" w:styleId="ListParagraph">
    <w:name w:val="List Paragraph"/>
    <w:basedOn w:val="Normal"/>
    <w:qFormat/>
    <w:rsid w:val="004F6373"/>
    <w:pPr>
      <w:ind w:left="720"/>
    </w:pPr>
    <w:rPr>
      <w:lang w:val="en-CA"/>
    </w:rPr>
  </w:style>
  <w:style w:type="table" w:styleId="TableGrid">
    <w:name w:val="Table Grid"/>
    <w:basedOn w:val="TableNormal"/>
    <w:rsid w:val="001B0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47FE"/>
    <w:rPr>
      <w:color w:val="2B579A"/>
      <w:shd w:val="clear" w:color="auto" w:fill="E6E6E6"/>
    </w:rPr>
  </w:style>
  <w:style w:type="paragraph" w:styleId="FootnoteText">
    <w:name w:val="footnote text"/>
    <w:basedOn w:val="Normal"/>
    <w:link w:val="FootnoteTextChar"/>
    <w:rsid w:val="00D5072E"/>
    <w:rPr>
      <w:sz w:val="20"/>
      <w:szCs w:val="20"/>
    </w:rPr>
  </w:style>
  <w:style w:type="character" w:customStyle="1" w:styleId="FootnoteTextChar">
    <w:name w:val="Footnote Text Char"/>
    <w:basedOn w:val="DefaultParagraphFont"/>
    <w:link w:val="FootnoteText"/>
    <w:rsid w:val="00D5072E"/>
    <w:rPr>
      <w:lang w:val="en-GB"/>
    </w:rPr>
  </w:style>
  <w:style w:type="character" w:styleId="FootnoteReference">
    <w:name w:val="footnote reference"/>
    <w:basedOn w:val="DefaultParagraphFont"/>
    <w:rsid w:val="00D5072E"/>
    <w:rPr>
      <w:vertAlign w:val="superscript"/>
    </w:rPr>
  </w:style>
  <w:style w:type="paragraph" w:customStyle="1" w:styleId="ChapterBody">
    <w:name w:val="Chapter Body"/>
    <w:basedOn w:val="BodyText"/>
    <w:autoRedefine/>
    <w:qFormat/>
    <w:rsid w:val="008A77E8"/>
    <w:pPr>
      <w:spacing w:after="0" w:line="480" w:lineRule="auto"/>
      <w:ind w:left="720" w:hanging="720"/>
    </w:pPr>
    <w:rPr>
      <w:szCs w:val="20"/>
      <w:lang w:val="en-AU" w:eastAsia="en-GB"/>
    </w:rPr>
  </w:style>
  <w:style w:type="paragraph" w:styleId="BodyText">
    <w:name w:val="Body Text"/>
    <w:basedOn w:val="Normal"/>
    <w:link w:val="BodyTextChar"/>
    <w:rsid w:val="008A77E8"/>
    <w:pPr>
      <w:spacing w:after="120"/>
    </w:pPr>
  </w:style>
  <w:style w:type="character" w:customStyle="1" w:styleId="BodyTextChar">
    <w:name w:val="Body Text Char"/>
    <w:basedOn w:val="DefaultParagraphFont"/>
    <w:link w:val="BodyText"/>
    <w:rsid w:val="008A77E8"/>
    <w:rPr>
      <w:sz w:val="24"/>
      <w:szCs w:val="24"/>
      <w:lang w:val="en-GB"/>
    </w:rPr>
  </w:style>
  <w:style w:type="paragraph" w:styleId="Header">
    <w:name w:val="header"/>
    <w:basedOn w:val="Normal"/>
    <w:link w:val="HeaderChar"/>
    <w:rsid w:val="003874B3"/>
    <w:pPr>
      <w:tabs>
        <w:tab w:val="center" w:pos="4680"/>
        <w:tab w:val="right" w:pos="9360"/>
      </w:tabs>
    </w:pPr>
  </w:style>
  <w:style w:type="character" w:customStyle="1" w:styleId="HeaderChar">
    <w:name w:val="Header Char"/>
    <w:basedOn w:val="DefaultParagraphFont"/>
    <w:link w:val="Header"/>
    <w:rsid w:val="003874B3"/>
    <w:rPr>
      <w:sz w:val="24"/>
      <w:szCs w:val="24"/>
      <w:lang w:val="en-GB"/>
    </w:rPr>
  </w:style>
  <w:style w:type="paragraph" w:styleId="Footer">
    <w:name w:val="footer"/>
    <w:basedOn w:val="Normal"/>
    <w:link w:val="FooterChar"/>
    <w:rsid w:val="003874B3"/>
    <w:pPr>
      <w:tabs>
        <w:tab w:val="center" w:pos="4680"/>
        <w:tab w:val="right" w:pos="9360"/>
      </w:tabs>
    </w:pPr>
  </w:style>
  <w:style w:type="character" w:customStyle="1" w:styleId="FooterChar">
    <w:name w:val="Footer Char"/>
    <w:basedOn w:val="DefaultParagraphFont"/>
    <w:link w:val="Footer"/>
    <w:rsid w:val="003874B3"/>
    <w:rPr>
      <w:sz w:val="24"/>
      <w:szCs w:val="24"/>
      <w:lang w:val="en-GB"/>
    </w:rPr>
  </w:style>
  <w:style w:type="character" w:styleId="CommentReference">
    <w:name w:val="annotation reference"/>
    <w:basedOn w:val="DefaultParagraphFont"/>
    <w:rsid w:val="00BB046C"/>
    <w:rPr>
      <w:sz w:val="16"/>
      <w:szCs w:val="16"/>
    </w:rPr>
  </w:style>
  <w:style w:type="paragraph" w:styleId="CommentText">
    <w:name w:val="annotation text"/>
    <w:basedOn w:val="Normal"/>
    <w:link w:val="CommentTextChar"/>
    <w:rsid w:val="00BB046C"/>
    <w:rPr>
      <w:sz w:val="20"/>
      <w:szCs w:val="20"/>
    </w:rPr>
  </w:style>
  <w:style w:type="character" w:customStyle="1" w:styleId="CommentTextChar">
    <w:name w:val="Comment Text Char"/>
    <w:basedOn w:val="DefaultParagraphFont"/>
    <w:link w:val="CommentText"/>
    <w:rsid w:val="00BB046C"/>
    <w:rPr>
      <w:lang w:val="en-GB"/>
    </w:rPr>
  </w:style>
  <w:style w:type="paragraph" w:styleId="CommentSubject">
    <w:name w:val="annotation subject"/>
    <w:basedOn w:val="CommentText"/>
    <w:next w:val="CommentText"/>
    <w:link w:val="CommentSubjectChar"/>
    <w:rsid w:val="00BB046C"/>
    <w:rPr>
      <w:b/>
      <w:bCs/>
    </w:rPr>
  </w:style>
  <w:style w:type="character" w:customStyle="1" w:styleId="CommentSubjectChar">
    <w:name w:val="Comment Subject Char"/>
    <w:basedOn w:val="CommentTextChar"/>
    <w:link w:val="CommentSubject"/>
    <w:rsid w:val="00BB046C"/>
    <w:rPr>
      <w:b/>
      <w:bCs/>
      <w:lang w:val="en-GB"/>
    </w:rPr>
  </w:style>
  <w:style w:type="paragraph" w:styleId="BalloonText">
    <w:name w:val="Balloon Text"/>
    <w:basedOn w:val="Normal"/>
    <w:link w:val="BalloonTextChar"/>
    <w:rsid w:val="00BB046C"/>
    <w:rPr>
      <w:rFonts w:ascii="Segoe UI" w:hAnsi="Segoe UI" w:cs="Segoe UI"/>
      <w:sz w:val="18"/>
      <w:szCs w:val="18"/>
    </w:rPr>
  </w:style>
  <w:style w:type="character" w:customStyle="1" w:styleId="BalloonTextChar">
    <w:name w:val="Balloon Text Char"/>
    <w:basedOn w:val="DefaultParagraphFont"/>
    <w:link w:val="BalloonText"/>
    <w:rsid w:val="00BB046C"/>
    <w:rPr>
      <w:rFonts w:ascii="Segoe UI" w:hAnsi="Segoe UI" w:cs="Segoe UI"/>
      <w:sz w:val="18"/>
      <w:szCs w:val="18"/>
      <w:lang w:val="en-GB"/>
    </w:rPr>
  </w:style>
  <w:style w:type="character" w:styleId="UnresolvedMention">
    <w:name w:val="Unresolved Mention"/>
    <w:basedOn w:val="DefaultParagraphFont"/>
    <w:uiPriority w:val="99"/>
    <w:semiHidden/>
    <w:unhideWhenUsed/>
    <w:rsid w:val="002C62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laws.gov.on.ca/html/source/regs/english/2013/elaws_src_regs_r13283_e.htm" TargetMode="External"/><Relationship Id="rId18" Type="http://schemas.openxmlformats.org/officeDocument/2006/relationships/hyperlink" Target="https://www.ouac.on.ca/statistics/teacher-education-application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news.ontario.ca/edu/en/2013/06/modernizing-teacher-education-in-ontario.html" TargetMode="External"/><Relationship Id="rId17" Type="http://schemas.openxmlformats.org/officeDocument/2006/relationships/hyperlink" Target="https://www12.statcan.gc.ca/nhs-enm/2011/as-sa/99-010-x/99-010-x2011001-eng.cf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tatcan.gc.ca/pub/89-654-x/89-654-x2013002-eng.ht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rts.oct.ca/2015/en/statistics/membership-demographics.htm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ouac.on.ca/docs/stats/archive/t2016/sepunivteasx_cnf_20160907_20150902.pdf" TargetMode="External"/><Relationship Id="rId23" Type="http://schemas.openxmlformats.org/officeDocument/2006/relationships/footer" Target="footer2.xml"/><Relationship Id="rId10" Type="http://schemas.openxmlformats.org/officeDocument/2006/relationships/hyperlink" Target="http://www.chairs-chaires.gc.ca/program-programme/equity-equite/best_practices-pratiques_examplaires-eng.aspx" TargetMode="External"/><Relationship Id="rId19" Type="http://schemas.openxmlformats.org/officeDocument/2006/relationships/hyperlink" Target="https://www.ontario.ca/page/2014-mandate-letter-training-colleges-and-universities" TargetMode="External"/><Relationship Id="rId4" Type="http://schemas.openxmlformats.org/officeDocument/2006/relationships/webSettings" Target="webSettings.xml"/><Relationship Id="rId9" Type="http://schemas.openxmlformats.org/officeDocument/2006/relationships/hyperlink" Target="http://epaa.asu.edu/ojs/article/view/803" TargetMode="External"/><Relationship Id="rId14" Type="http://schemas.openxmlformats.org/officeDocument/2006/relationships/hyperlink" Target="https://www.ouac.on.ca/docs/stats/archive/t2016/sepunivteasx_app_20160907_20150902.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9573</Words>
  <Characters>54570</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2017-11-12T17:54:00Z</dcterms:created>
  <dcterms:modified xsi:type="dcterms:W3CDTF">2017-11-13T23:40:00Z</dcterms:modified>
</cp:coreProperties>
</file>