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3618C" w14:textId="77777777" w:rsidR="00CD50B9" w:rsidRPr="00CD50B9" w:rsidRDefault="00CD50B9" w:rsidP="00CD50B9">
      <w:pPr>
        <w:spacing w:before="100" w:beforeAutospacing="1" w:after="100" w:afterAutospacing="1"/>
        <w:jc w:val="center"/>
        <w:rPr>
          <w:rFonts w:ascii="Times New Roman" w:hAnsi="Times New Roman" w:cs="Times New Roman"/>
        </w:rPr>
      </w:pPr>
      <w:r w:rsidRPr="00CD50B9">
        <w:rPr>
          <w:rFonts w:ascii="Verdana" w:hAnsi="Verdana" w:cs="Times New Roman"/>
          <w:i/>
          <w:iCs/>
          <w:sz w:val="15"/>
          <w:szCs w:val="15"/>
        </w:rPr>
        <w:t>Canadian Journal of Educational Administration and Policy,</w:t>
      </w:r>
      <w:r w:rsidRPr="00CD50B9">
        <w:rPr>
          <w:rFonts w:ascii="Verdana" w:hAnsi="Verdana" w:cs="Times New Roman"/>
          <w:sz w:val="15"/>
          <w:szCs w:val="15"/>
        </w:rPr>
        <w:t> Issue #32, July 1, 2004. © by</w:t>
      </w:r>
      <w:r w:rsidRPr="00CD50B9">
        <w:rPr>
          <w:rFonts w:ascii="Verdana" w:hAnsi="Verdana" w:cs="Times New Roman"/>
          <w:i/>
          <w:iCs/>
          <w:sz w:val="15"/>
          <w:szCs w:val="15"/>
        </w:rPr>
        <w:t> CJEAP</w:t>
      </w:r>
      <w:r w:rsidRPr="00CD50B9">
        <w:rPr>
          <w:rFonts w:ascii="Verdana" w:hAnsi="Verdana" w:cs="Times New Roman"/>
          <w:sz w:val="15"/>
          <w:szCs w:val="15"/>
        </w:rPr>
        <w:t> and the author(s).</w:t>
      </w:r>
    </w:p>
    <w:p w14:paraId="62F1E903" w14:textId="77777777" w:rsidR="00CD50B9" w:rsidRPr="00CD50B9" w:rsidRDefault="00CD50B9" w:rsidP="00CD50B9">
      <w:pPr>
        <w:spacing w:before="100" w:beforeAutospacing="1" w:after="100" w:afterAutospacing="1"/>
        <w:jc w:val="center"/>
        <w:rPr>
          <w:rFonts w:ascii="Verdana" w:hAnsi="Verdana" w:cs="Times New Roman"/>
          <w:sz w:val="20"/>
          <w:szCs w:val="20"/>
        </w:rPr>
      </w:pPr>
      <w:r w:rsidRPr="00CD50B9">
        <w:rPr>
          <w:rFonts w:ascii="Verdana" w:hAnsi="Verdana" w:cs="Times New Roman"/>
          <w:b/>
          <w:bCs/>
          <w:sz w:val="20"/>
          <w:szCs w:val="20"/>
        </w:rPr>
        <w:t>Melissa's Story: </w:t>
      </w:r>
      <w:r w:rsidRPr="00CD50B9">
        <w:rPr>
          <w:rFonts w:ascii="Verdana" w:hAnsi="Verdana" w:cs="Times New Roman"/>
          <w:b/>
          <w:bCs/>
          <w:sz w:val="20"/>
          <w:szCs w:val="20"/>
        </w:rPr>
        <w:br/>
        <w:t>Bridging the Theory/Practice Gap in Teacher Education</w:t>
      </w:r>
    </w:p>
    <w:p w14:paraId="7584F7EC" w14:textId="77777777" w:rsidR="00CD50B9" w:rsidRPr="00CD50B9" w:rsidRDefault="00CD50B9" w:rsidP="00CD50B9">
      <w:pPr>
        <w:spacing w:before="100" w:beforeAutospacing="1" w:after="100" w:afterAutospacing="1"/>
        <w:jc w:val="center"/>
        <w:rPr>
          <w:rFonts w:ascii="Times New Roman" w:hAnsi="Times New Roman" w:cs="Times New Roman"/>
        </w:rPr>
      </w:pPr>
      <w:r w:rsidRPr="00CD50B9">
        <w:rPr>
          <w:rFonts w:ascii="Verdana" w:hAnsi="Verdana" w:cs="Times New Roman"/>
          <w:sz w:val="20"/>
          <w:szCs w:val="20"/>
        </w:rPr>
        <w:t>by </w:t>
      </w:r>
      <w:hyperlink r:id="rId4" w:history="1">
        <w:r w:rsidRPr="00CD50B9">
          <w:rPr>
            <w:rFonts w:ascii="Verdana" w:hAnsi="Verdana" w:cs="Times New Roman"/>
            <w:color w:val="0000FF"/>
            <w:sz w:val="20"/>
            <w:szCs w:val="20"/>
            <w:u w:val="single"/>
          </w:rPr>
          <w:t>Wayne Serebrin</w:t>
        </w:r>
      </w:hyperlink>
      <w:r w:rsidRPr="00CD50B9">
        <w:rPr>
          <w:rFonts w:ascii="Verdana" w:hAnsi="Verdana" w:cs="Times New Roman"/>
          <w:sz w:val="20"/>
          <w:szCs w:val="20"/>
        </w:rPr>
        <w:t> with Melissa Ryz, University of Manitoba</w:t>
      </w:r>
    </w:p>
    <w:p w14:paraId="0927FECA" w14:textId="77777777" w:rsidR="00CD50B9" w:rsidRPr="00CD50B9" w:rsidRDefault="00CD50B9" w:rsidP="00CD50B9">
      <w:pPr>
        <w:spacing w:beforeAutospacing="1" w:afterAutospacing="1"/>
        <w:rPr>
          <w:rFonts w:ascii="Times New Roman" w:hAnsi="Times New Roman" w:cs="Times New Roman"/>
        </w:rPr>
      </w:pPr>
      <w:r w:rsidRPr="00CD50B9">
        <w:rPr>
          <w:rFonts w:ascii="Verdana" w:hAnsi="Verdana" w:cs="Times New Roman"/>
          <w:i/>
          <w:iCs/>
          <w:sz w:val="20"/>
          <w:szCs w:val="20"/>
        </w:rPr>
        <w:t>I am surprised my thinking could have changed in such a short period of time. Now that I have been through this literacy inquiry from start to finish, I can see all the holes, all the wrong turns, all the missed connections. Not that my self-reflection is entirely pessimistic - I simply feel a little wiser from having had the chance to actually live in the skin of a language arts teacher. I appreciate the benefit of being able to reflect in depth on this teaching experience - to look back on the progress of my thinking as I tried to figure out where Bradley and I were and where we wanted to be. As I make my way down the road to becoming a teacher, this reflection will be an interesting reference point for me. Although, I know that the realizations and questions I have now may seem quaint or odd come next term.</w:t>
      </w:r>
    </w:p>
    <w:p w14:paraId="5E664E24"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This passage is from Melissa's final written reflection on six, two-hour sessions she spent with Bradley, a Grade 4 student. Melissa had collaboratively negotiated an inquiry-based literacy study (see Short, Harste, with Burke, 1996; Lindfors, 1999; Short, 1999; Serebrin, Long &amp; Egawa, 2002; Serebrin, 2003; Mills, O'Keefe &amp; Jennings, 2004) with Bradley, as part of her Language and Literacy teacher education course at the University of Manitoba. Through their collaborative study Bradley and Melissa both inquired into and learned about language and literacy processes, while at the same time they used these processes to explore topics of genuine interest and meaningfulness to them. When she composed this reflection, Melissa was an articulate teacher candidate in one of two second-year Early Years cohorts. The 65 Early Years teacher candidates had been paired with a Grade 3 or 4 child at a local school for one of their two Language and Literacy classes per week (classes met on different days depending on the cohort), over a six-week period in the fall term. Having already completed the first-year Language and Literacy course, focused on literacy processes and young children's language and literacy learning and development, teacher candidates in the second-year course were expected to articulate, plan, enact, and critique theoretically-consistent literacy teaching, learning, curriculum and assessment practices. As the Early Years Language and Literacy professor (for both Year 1 and Year 2), I intended to support second-year teacher candidates in this endeavour by creating an innovative teacher education experiment, about which Melissa was writing. </w:t>
      </w:r>
    </w:p>
    <w:p w14:paraId="15D0B537"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Over the two years, I had observed that most teacher candidates had begun to construct personal literacy education theories in our university classes. Their theories were based on professional reading, class demonstrations and conversations, personal and academic writing, and selected class visits; during which they often heard the voices of teachers engaged in state-of-the-art literacy teaching practices. Yet, I was frustrated because many of these teacher candidates would find themselves placed in practicum school settings where they were neither able to observe or further inquire into literacy teaching practices consistent with their fledgling theories. It is after all, as Britzman (1991) argues, the practices of the teacher in the classroom, rather than those recommended in teacher education courses, that have the greatest impact on teacher candidates' subsequent practice. </w:t>
      </w:r>
    </w:p>
    <w:p w14:paraId="02C4B54F"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 xml:space="preserve">Year after year my experience had been that in a substantial number of practicum settings, teacher candidates' "professional sense" (Goodman, 1989) and scholarly wondering was </w:t>
      </w:r>
      <w:r w:rsidRPr="00CD50B9">
        <w:rPr>
          <w:rFonts w:ascii="Verdana" w:hAnsi="Verdana" w:cs="Times New Roman"/>
          <w:sz w:val="20"/>
          <w:szCs w:val="20"/>
        </w:rPr>
        <w:lastRenderedPageBreak/>
        <w:t>shut down, as they resigned themselves to merely carrying out their classroom teachers' practices without question (see also </w:t>
      </w:r>
      <w:hyperlink r:id="rId5" w:history="1">
        <w:r w:rsidRPr="00CD50B9">
          <w:rPr>
            <w:rFonts w:ascii="Verdana" w:hAnsi="Verdana" w:cs="Times New Roman"/>
            <w:color w:val="0000FF"/>
            <w:sz w:val="20"/>
            <w:szCs w:val="20"/>
            <w:u w:val="single"/>
          </w:rPr>
          <w:t>Seifert, in this issue</w:t>
        </w:r>
      </w:hyperlink>
      <w:r w:rsidRPr="00CD50B9">
        <w:rPr>
          <w:rFonts w:ascii="Verdana" w:hAnsi="Verdana" w:cs="Times New Roman"/>
          <w:sz w:val="20"/>
          <w:szCs w:val="20"/>
        </w:rPr>
        <w:t>, for a discussion of some of reasons why this occurs). Of course my wish would have been to place all of these teacher candidates in practicum settings where they would find support in their attempts to articulate and enact a consistent theory of literacy education. But, because this ideal did not seem immediately feasible on a grand scale, I opted for a smaller scale experiment. I decided to turn one of my two Language and Literacy course meetings per week into an opportunity for teacher candidates to practise theoretically based literacy inquiry one-on-one with an early years child at a nearby urban school (in this issue, other individually based initiatives are described by </w:t>
      </w:r>
      <w:hyperlink r:id="rId6" w:history="1">
        <w:r w:rsidRPr="00CD50B9">
          <w:rPr>
            <w:rFonts w:ascii="Verdana" w:hAnsi="Verdana" w:cs="Times New Roman"/>
            <w:color w:val="0000FF"/>
            <w:sz w:val="20"/>
            <w:szCs w:val="20"/>
            <w:u w:val="single"/>
          </w:rPr>
          <w:t>Youens &amp; Bailey</w:t>
        </w:r>
      </w:hyperlink>
      <w:r w:rsidRPr="00CD50B9">
        <w:rPr>
          <w:rFonts w:ascii="Verdana" w:hAnsi="Verdana" w:cs="Times New Roman"/>
          <w:sz w:val="20"/>
          <w:szCs w:val="20"/>
        </w:rPr>
        <w:t>, and by </w:t>
      </w:r>
      <w:hyperlink r:id="rId7" w:history="1">
        <w:r w:rsidRPr="00CD50B9">
          <w:rPr>
            <w:rFonts w:ascii="Verdana" w:hAnsi="Verdana" w:cs="Times New Roman"/>
            <w:color w:val="0000FF"/>
            <w:sz w:val="20"/>
            <w:szCs w:val="20"/>
            <w:u w:val="single"/>
          </w:rPr>
          <w:t>Sorensen</w:t>
        </w:r>
      </w:hyperlink>
      <w:r w:rsidRPr="00CD50B9">
        <w:rPr>
          <w:rFonts w:ascii="Verdana" w:hAnsi="Verdana" w:cs="Times New Roman"/>
          <w:sz w:val="20"/>
          <w:szCs w:val="20"/>
        </w:rPr>
        <w:t>).</w:t>
      </w:r>
    </w:p>
    <w:p w14:paraId="4F6C3F43"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For this experiment I selected Elmfield School. I knew two early years teachers at the school who were proponents and masterful practitioners of literacy learning as a theoretically-based, inquiry process. The school was located close to the university, which made it possible for teacher candidates to get there and back without disrupting their university class schedule. And, because the school population was deemed "high needs," I thought this would help teacher candidates to appreciate that what they were able to accomplish in terms of literacy learning with their partners was not </w:t>
      </w:r>
      <w:r w:rsidRPr="00CD50B9">
        <w:rPr>
          <w:rFonts w:ascii="Verdana" w:hAnsi="Verdana" w:cs="Times New Roman"/>
          <w:i/>
          <w:iCs/>
          <w:sz w:val="20"/>
          <w:szCs w:val="20"/>
        </w:rPr>
        <w:t>only </w:t>
      </w:r>
      <w:r w:rsidRPr="00CD50B9">
        <w:rPr>
          <w:rFonts w:ascii="Verdana" w:hAnsi="Verdana" w:cs="Times New Roman"/>
          <w:sz w:val="20"/>
          <w:szCs w:val="20"/>
        </w:rPr>
        <w:t>plausible in "comfortable" school settings.</w:t>
      </w:r>
    </w:p>
    <w:p w14:paraId="06C3C397" w14:textId="77777777" w:rsidR="00CD50B9" w:rsidRPr="00CD50B9" w:rsidRDefault="00CD50B9" w:rsidP="00CD50B9">
      <w:pPr>
        <w:spacing w:before="100" w:beforeAutospacing="1" w:after="100" w:afterAutospacing="1"/>
        <w:jc w:val="center"/>
        <w:rPr>
          <w:rFonts w:ascii="Verdana" w:hAnsi="Verdana" w:cs="Times New Roman"/>
        </w:rPr>
      </w:pPr>
      <w:r w:rsidRPr="00CD50B9">
        <w:rPr>
          <w:rFonts w:ascii="Verdana" w:hAnsi="Verdana" w:cs="Times New Roman"/>
          <w:b/>
          <w:bCs/>
          <w:sz w:val="20"/>
          <w:szCs w:val="20"/>
        </w:rPr>
        <w:t>Formulating Inquiry-based Literacy Learning Plans</w:t>
      </w:r>
    </w:p>
    <w:p w14:paraId="1F331E99"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Denise and Lisa, my two collaborating teachers at Elmfield School, worked with me to foreground the development of caring relationships (Noddings, 1992) between the Grade 3 and 4 students and their teacher candidate partners, by initiating an exchange of letters prior to the first face-to-face meeting at the school. Bradley and Melissa's letters were typical of the group, addressing common topics of family, pets, interests and hobbies. Based on a close reading of each other's letters, both partners were also invited to find a poem they thought their partner would enjoy and present it as a gift at their first meeting. For this introductory meeting at the school, along with their letters and poems, university and school partners were to create a visual collage representing themselves in a meaning-making system other than language, and were also asked to bring a favourite book to read aloud and their writer's notebooks to share. </w:t>
      </w:r>
    </w:p>
    <w:p w14:paraId="0729838A"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In her reflection after this first school visit, Melissa wrote:</w:t>
      </w:r>
    </w:p>
    <w:p w14:paraId="5EA80233" w14:textId="77777777" w:rsidR="00CD50B9" w:rsidRPr="00CD50B9" w:rsidRDefault="00CD50B9" w:rsidP="00CD50B9">
      <w:pPr>
        <w:spacing w:beforeAutospacing="1" w:after="100" w:afterAutospacing="1"/>
        <w:rPr>
          <w:rFonts w:ascii="Times New Roman" w:hAnsi="Times New Roman" w:cs="Times New Roman"/>
        </w:rPr>
      </w:pPr>
      <w:r w:rsidRPr="00CD50B9">
        <w:rPr>
          <w:rFonts w:ascii="Verdana" w:hAnsi="Verdana" w:cs="Times New Roman"/>
          <w:i/>
          <w:iCs/>
          <w:sz w:val="20"/>
          <w:szCs w:val="20"/>
        </w:rPr>
        <w:t>At our first meeting the time flew by. Bradley seemed so excited from the very beginning - like he was about to bounce up out of his seat - which he did, occasionally. That's why the poem he shared with me (about being unable to sit still) was so appropriate. Actually, we were both caught up in the excitement of sharing what we brought and learning about each other's interests.</w:t>
      </w:r>
    </w:p>
    <w:p w14:paraId="6E6939CA" w14:textId="77777777" w:rsidR="00CD50B9" w:rsidRPr="00CD50B9" w:rsidRDefault="00CD50B9" w:rsidP="00CD50B9">
      <w:pPr>
        <w:spacing w:before="100" w:beforeAutospacing="1" w:after="100" w:afterAutospacing="1"/>
        <w:rPr>
          <w:rFonts w:ascii="Times New Roman" w:hAnsi="Times New Roman" w:cs="Times New Roman"/>
        </w:rPr>
      </w:pPr>
      <w:r w:rsidRPr="00CD50B9">
        <w:rPr>
          <w:rFonts w:ascii="Verdana" w:hAnsi="Verdana" w:cs="Times New Roman"/>
          <w:i/>
          <w:iCs/>
          <w:sz w:val="20"/>
          <w:szCs w:val="20"/>
        </w:rPr>
        <w:t>After Bradley read his poem and book, we shared our collages, and then he rushed on to his writer's notebook. He flipped through all the pages, talking a-mile-a-minute about his interests and observations and questions. His love of learning was obvious and delightful to see! What excites me most is his curiosity. He showed me the list of questions he wrote after his class visit to the stone quarry. These questions led us into a discussion of rocks, minerals, gems and mining. I plan to look for some non-fiction about rocks, stones, stone masons, gold mining, Stonehenge, and whatever other connecting topics I can find. </w:t>
      </w:r>
    </w:p>
    <w:p w14:paraId="55DADD5D" w14:textId="77777777" w:rsidR="00CD50B9" w:rsidRPr="00CD50B9" w:rsidRDefault="00CD50B9" w:rsidP="00CD50B9">
      <w:pPr>
        <w:spacing w:before="100" w:beforeAutospacing="1" w:after="100" w:afterAutospacing="1"/>
        <w:rPr>
          <w:rFonts w:ascii="Times New Roman" w:hAnsi="Times New Roman" w:cs="Times New Roman"/>
        </w:rPr>
      </w:pPr>
      <w:r w:rsidRPr="00CD50B9">
        <w:rPr>
          <w:rFonts w:ascii="Verdana" w:hAnsi="Verdana" w:cs="Times New Roman"/>
          <w:i/>
          <w:iCs/>
          <w:sz w:val="20"/>
          <w:szCs w:val="20"/>
        </w:rPr>
        <w:t>He also expressed a keen interest in fiction writing. We spoke briefly about writing an encounter with a magical stone. I'll see if I can pick up some literature that will feed this interest too. </w:t>
      </w:r>
    </w:p>
    <w:p w14:paraId="486B10AD" w14:textId="77777777" w:rsidR="00CD50B9" w:rsidRPr="00CD50B9" w:rsidRDefault="00CD50B9" w:rsidP="00CD50B9">
      <w:pPr>
        <w:spacing w:before="100" w:beforeAutospacing="1" w:afterAutospacing="1"/>
        <w:rPr>
          <w:rFonts w:ascii="Times New Roman" w:hAnsi="Times New Roman" w:cs="Times New Roman"/>
        </w:rPr>
      </w:pPr>
      <w:r w:rsidRPr="00CD50B9">
        <w:rPr>
          <w:rFonts w:ascii="Verdana" w:hAnsi="Verdana" w:cs="Times New Roman"/>
          <w:i/>
          <w:iCs/>
          <w:sz w:val="20"/>
          <w:szCs w:val="20"/>
        </w:rPr>
        <w:t>Stones and rocks, through a child's eyes, could be a fascinating inquiry focus for our literacy study. Obviously Bradley's interest in a topic motivates his learning…and he's interested in so many different things! Interest is so much more powerful a motivator than I first would have thought.</w:t>
      </w:r>
    </w:p>
    <w:p w14:paraId="4E6B9929"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Theoretically, Melissa's stance as a literacy teacher was inquiry-oriented. As an effective "kidwatcher" (Goodman, 1985), she was fascinated with Bradley's curiosity and questions and she valued this "need to know" in planning her literacy instruction. One of her teaching responsibilities would also be to connect Bradley with quality children's literature, both non-fiction and fiction, as one means of opening-up and enriching the potentials of this study.</w:t>
      </w:r>
    </w:p>
    <w:p w14:paraId="10DF8B58" w14:textId="77777777" w:rsidR="00CD50B9" w:rsidRPr="00CD50B9" w:rsidRDefault="00CD50B9" w:rsidP="00CD50B9">
      <w:pPr>
        <w:spacing w:before="100" w:beforeAutospacing="1" w:after="100" w:afterAutospacing="1"/>
        <w:jc w:val="center"/>
        <w:rPr>
          <w:rFonts w:ascii="Verdana" w:hAnsi="Verdana" w:cs="Times New Roman"/>
        </w:rPr>
      </w:pPr>
      <w:r w:rsidRPr="00CD50B9">
        <w:rPr>
          <w:rFonts w:ascii="Verdana" w:hAnsi="Verdana" w:cs="Times New Roman"/>
          <w:b/>
          <w:bCs/>
          <w:sz w:val="20"/>
          <w:szCs w:val="20"/>
        </w:rPr>
        <w:t>Dialoguing With Others to Make Sense of Theory/Practice Relationships</w:t>
      </w:r>
    </w:p>
    <w:p w14:paraId="6AF17373"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As a teacher educator it is my intent to make my own literacy theory and practice connections as explicit but as seamless as possible (Harste, Leland, Schmidt, Vasquez &amp; Ociepka, 2004). The initial exchanges of letters and poems and the sharing of books, collages, and writer's notebooks were invitations to teacher candidates to develop caring relationships with the children, while also establishing a context for them to inquire into their partner's current interests, experience, knowledge, and literacy understandings, uses and strategies. I provided guidelines and examples of resources that teacher candidates could use or adapt in their efforts to gather and document their observations and interpretations of the children's literacy. I expected them to subsequently use this data to inform their planning of future learning experiences. </w:t>
      </w:r>
    </w:p>
    <w:p w14:paraId="4BE703BB"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Excerpts from written reflections about each session were shared weekly with different audiences on different weeks; this might be a colleague in the same teacher education cohort, a colleague who was paired with the same child in the other cohort, the children's teachers, or me. I figured that this social learning opportunity would authorize a wide range of voices, beyond mine, and enable teacher candidates to dialogue with others who were positioned differently within our professional inquiry community, as teacher candidates tried to make sense of their sessions with the children (Duckworth, 2001).</w:t>
      </w:r>
    </w:p>
    <w:p w14:paraId="7886E7A2"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Melissa shared her reflection on the first school session with me and with her colleague Andrea from the other section (who was also paired with Bradley). In addition to her commentary on Bradley's writer's notebook interests, Melissa made the following observations about Bradley's oral reading:</w:t>
      </w:r>
    </w:p>
    <w:p w14:paraId="6A7135B9" w14:textId="77777777" w:rsidR="00CD50B9" w:rsidRPr="00CD50B9" w:rsidRDefault="00CD50B9" w:rsidP="00CD50B9">
      <w:pPr>
        <w:spacing w:beforeAutospacing="1" w:after="100" w:afterAutospacing="1"/>
        <w:rPr>
          <w:rFonts w:ascii="Times New Roman" w:hAnsi="Times New Roman" w:cs="Times New Roman"/>
        </w:rPr>
      </w:pPr>
      <w:r w:rsidRPr="00CD50B9">
        <w:rPr>
          <w:rFonts w:ascii="Verdana" w:hAnsi="Verdana" w:cs="Times New Roman"/>
          <w:i/>
          <w:iCs/>
          <w:sz w:val="20"/>
          <w:szCs w:val="20"/>
        </w:rPr>
        <w:t>Bradley admitted to having trouble sitting still - his mind raced from one thing to the next and his body followed suit. I think the speed with which he lives his life made its way into his reading. I noticed that he was consistently oblivious to the natural pauses in the texts - he sailed right through commas and periods - and he would rather skip over a word that was giving him trouble than slow down long enough to figure it out. I think his impressive comprehension of the story was dependent on this momentum and proved its success as a strategy. On Friday I wondered if I should have encouraged him to slow down a little to focus more on particular words that gave him trouble, but since then I have decided to limit my interruptions to moments when his understanding is threatened by a miscue.</w:t>
      </w:r>
    </w:p>
    <w:p w14:paraId="1426EE6C" w14:textId="77777777" w:rsidR="00CD50B9" w:rsidRPr="00CD50B9" w:rsidRDefault="00CD50B9" w:rsidP="00CD50B9">
      <w:pPr>
        <w:spacing w:before="100" w:beforeAutospacing="1" w:afterAutospacing="1"/>
        <w:rPr>
          <w:rFonts w:ascii="Times New Roman" w:hAnsi="Times New Roman" w:cs="Times New Roman"/>
        </w:rPr>
      </w:pPr>
      <w:r w:rsidRPr="00CD50B9">
        <w:rPr>
          <w:rFonts w:ascii="Verdana" w:hAnsi="Verdana" w:cs="Times New Roman"/>
          <w:i/>
          <w:iCs/>
          <w:sz w:val="20"/>
          <w:szCs w:val="20"/>
        </w:rPr>
        <w:t>We did experiment with a couple of reading strategies during Bradley's reading of </w:t>
      </w:r>
      <w:r w:rsidRPr="00CD50B9">
        <w:rPr>
          <w:rFonts w:ascii="Verdana" w:hAnsi="Verdana" w:cs="Times New Roman"/>
          <w:i/>
          <w:iCs/>
          <w:sz w:val="20"/>
          <w:szCs w:val="20"/>
          <w:u w:val="single"/>
        </w:rPr>
        <w:t>The Wolseley Elm</w:t>
      </w:r>
      <w:r w:rsidRPr="00CD50B9">
        <w:rPr>
          <w:rFonts w:ascii="Verdana" w:hAnsi="Verdana" w:cs="Times New Roman"/>
          <w:i/>
          <w:iCs/>
          <w:sz w:val="20"/>
          <w:szCs w:val="20"/>
        </w:rPr>
        <w:t>. On one page I got him to focus on the particular word he was having trouble with instead of letting him skip over it so quickly. We talked about what he normally does when he comes to something he doesn't know and he named a lot of different strategies, including breaking the word apart and sounding out the parts. So, he is aware of these other strategies. I wonder how he decides which strategies to use and when. </w:t>
      </w:r>
    </w:p>
    <w:p w14:paraId="34957482" w14:textId="77777777" w:rsidR="00CD50B9" w:rsidRPr="00CD50B9" w:rsidRDefault="00CD50B9" w:rsidP="00CD50B9">
      <w:pPr>
        <w:spacing w:before="100" w:beforeAutospacing="1" w:after="100" w:afterAutospacing="1"/>
        <w:rPr>
          <w:rFonts w:ascii="Times New Roman" w:hAnsi="Times New Roman" w:cs="Times New Roman"/>
        </w:rPr>
      </w:pPr>
      <w:r w:rsidRPr="00CD50B9">
        <w:rPr>
          <w:rFonts w:ascii="Verdana" w:hAnsi="Verdana" w:cs="Times New Roman"/>
          <w:sz w:val="20"/>
          <w:szCs w:val="20"/>
        </w:rPr>
        <w:t>In the margins of this excerpt, I wrote that Melissa's consideration of whether to intervene or not when Bradley raced through punctuation and skipped over problematic words was based on her theoretical understanding of reading as a meaning-making process. The evidence of this was in her decision to intervene only if Bradley's "miscues" (instances when readers' observed responses differ from their expected responses; Goodman, 1996) compromised his understanding of the text. I noted too that by talking with Bradley about his reading strategies, she enabled him to theorize - make his thinking processes explicit. Finally, I suggested that by continuing to closely observe Bradley as a reader, reading different texts for different purposes over the next few weeks, she might very well find patterns in Bradley's reading strategy use that would answer some of her professional inquiry questions and perhaps generate new ones.</w:t>
      </w:r>
    </w:p>
    <w:p w14:paraId="64A37FCF" w14:textId="77777777" w:rsidR="00CD50B9" w:rsidRPr="00CD50B9" w:rsidRDefault="00CD50B9" w:rsidP="00CD50B9">
      <w:pPr>
        <w:spacing w:before="100" w:beforeAutospacing="1" w:after="100" w:afterAutospacing="1"/>
        <w:rPr>
          <w:rFonts w:ascii="Times New Roman" w:hAnsi="Times New Roman" w:cs="Times New Roman"/>
        </w:rPr>
      </w:pPr>
      <w:r w:rsidRPr="00CD50B9">
        <w:rPr>
          <w:rFonts w:ascii="Verdana" w:hAnsi="Verdana" w:cs="Times New Roman"/>
          <w:sz w:val="20"/>
          <w:szCs w:val="20"/>
        </w:rPr>
        <w:t>Given the focus of this first session, Melissa was not the only teacher candidate to make reading process observations or to ask inquiry questions about them. Being a kidwatcher myself in the context of teacher candidates' learning, I created a reading case study invitation for our next class that invited teacher candidates to revisit some of the reading process issues we had explored in first-year - now that they had a more urgent "need to know".</w:t>
      </w:r>
    </w:p>
    <w:p w14:paraId="6F6B0735" w14:textId="77777777" w:rsidR="00CD50B9" w:rsidRPr="00CD50B9" w:rsidRDefault="00CD50B9" w:rsidP="00CD50B9">
      <w:pPr>
        <w:spacing w:before="100" w:beforeAutospacing="1" w:after="100" w:afterAutospacing="1"/>
        <w:rPr>
          <w:rFonts w:ascii="Times New Roman" w:hAnsi="Times New Roman" w:cs="Times New Roman"/>
        </w:rPr>
      </w:pPr>
      <w:r w:rsidRPr="00CD50B9">
        <w:rPr>
          <w:rFonts w:ascii="Verdana" w:hAnsi="Verdana" w:cs="Times New Roman"/>
          <w:sz w:val="20"/>
          <w:szCs w:val="20"/>
        </w:rPr>
        <w:t>This first week, Andrea, her colleague in the other cohort, also responded to Melissa's reflection. She thanked Melissa for her insights and her specific and detailed observations, and agreed with Melissa's suggestion that the two of them would look for opportunities for Bradley to encourage a more reluctant reader in the group to </w:t>
      </w:r>
      <w:r w:rsidRPr="00CD50B9">
        <w:rPr>
          <w:rFonts w:ascii="Verdana" w:hAnsi="Verdana" w:cs="Times New Roman"/>
          <w:i/>
          <w:iCs/>
          <w:sz w:val="20"/>
          <w:szCs w:val="20"/>
        </w:rPr>
        <w:t>"turn onto the joy of books"</w:t>
      </w:r>
      <w:r w:rsidRPr="00CD50B9">
        <w:rPr>
          <w:rFonts w:ascii="Verdana" w:hAnsi="Verdana" w:cs="Times New Roman"/>
          <w:sz w:val="20"/>
          <w:szCs w:val="20"/>
        </w:rPr>
        <w:t>. Even in her few appreciative words to Melissa, Andrea too kept the focus on the big picture of what literacy is for, as she touched on ideas of </w:t>
      </w:r>
      <w:r w:rsidRPr="00CD50B9">
        <w:rPr>
          <w:rFonts w:ascii="Verdana" w:hAnsi="Verdana" w:cs="Times New Roman"/>
          <w:i/>
          <w:iCs/>
          <w:sz w:val="20"/>
          <w:szCs w:val="20"/>
        </w:rPr>
        <w:t>relationship</w:t>
      </w:r>
      <w:r w:rsidRPr="00CD50B9">
        <w:rPr>
          <w:rFonts w:ascii="Verdana" w:hAnsi="Verdana" w:cs="Times New Roman"/>
          <w:sz w:val="20"/>
          <w:szCs w:val="20"/>
        </w:rPr>
        <w:t> and </w:t>
      </w:r>
      <w:r w:rsidRPr="00CD50B9">
        <w:rPr>
          <w:rFonts w:ascii="Verdana" w:hAnsi="Verdana" w:cs="Times New Roman"/>
          <w:i/>
          <w:iCs/>
          <w:sz w:val="20"/>
          <w:szCs w:val="20"/>
        </w:rPr>
        <w:t>community.</w:t>
      </w:r>
    </w:p>
    <w:p w14:paraId="78006261" w14:textId="77777777" w:rsidR="00CD50B9" w:rsidRPr="00CD50B9" w:rsidRDefault="00CD50B9" w:rsidP="00CD50B9">
      <w:pPr>
        <w:spacing w:before="100" w:beforeAutospacing="1" w:after="100" w:afterAutospacing="1"/>
        <w:jc w:val="center"/>
        <w:rPr>
          <w:rFonts w:ascii="Verdana" w:hAnsi="Verdana" w:cs="Times New Roman"/>
        </w:rPr>
      </w:pPr>
      <w:r w:rsidRPr="00CD50B9">
        <w:rPr>
          <w:rFonts w:ascii="Verdana" w:hAnsi="Verdana" w:cs="Times New Roman"/>
          <w:b/>
          <w:bCs/>
          <w:sz w:val="20"/>
          <w:szCs w:val="20"/>
        </w:rPr>
        <w:t>Formulating and "Fixing" Understandings, Knowledge and Beliefs</w:t>
      </w:r>
    </w:p>
    <w:p w14:paraId="41CB1342" w14:textId="77777777" w:rsidR="00CD50B9" w:rsidRPr="00CD50B9" w:rsidRDefault="00CD50B9" w:rsidP="00CD50B9">
      <w:pPr>
        <w:spacing w:beforeAutospacing="1" w:after="100" w:afterAutospacing="1"/>
        <w:rPr>
          <w:rFonts w:ascii="Times New Roman" w:hAnsi="Times New Roman" w:cs="Times New Roman"/>
        </w:rPr>
      </w:pPr>
      <w:r w:rsidRPr="00CD50B9">
        <w:rPr>
          <w:rFonts w:ascii="Verdana" w:hAnsi="Verdana" w:cs="Times New Roman"/>
          <w:i/>
          <w:iCs/>
          <w:sz w:val="20"/>
          <w:szCs w:val="20"/>
        </w:rPr>
        <w:t>I arrived at Elmfield with a pile of books for our second session together. I'd checked out every possible children's book that connected in some way to magic rocks, rocks, stones, etc. But, when we met in Bradley's classroom this week (instead of the library where we had been last week), I was immediately struck by all of the rock books, rock samples, rock posters, rock everything that greeted me from every corner of the room! What I thought was Bradley's burning, personal desire to know everything he could about rocks, was actually a whole class inquiry. He hadn't told me that he was already pursuing his questions as part of a class study connected to the Manitoba Grade 4 Science Curriculum. As this realization was washing over me, I quickly decided that it didn't really matter; we could focus on other literacy possibilities. I had gathered a selection of beautiful fiction stories about rocks, including </w:t>
      </w:r>
      <w:r w:rsidRPr="00CD50B9">
        <w:rPr>
          <w:rFonts w:ascii="Verdana" w:hAnsi="Verdana" w:cs="Times New Roman"/>
          <w:i/>
          <w:iCs/>
          <w:sz w:val="20"/>
          <w:szCs w:val="20"/>
          <w:u w:val="single"/>
        </w:rPr>
        <w:t>Sylvester and the Magic Pebble</w:t>
      </w:r>
      <w:r w:rsidRPr="00CD50B9">
        <w:rPr>
          <w:rFonts w:ascii="Verdana" w:hAnsi="Verdana" w:cs="Times New Roman"/>
          <w:i/>
          <w:iCs/>
          <w:sz w:val="20"/>
          <w:szCs w:val="20"/>
        </w:rPr>
        <w:t>, which Bradley chose for us to read together - each of us reading a page at a time. </w:t>
      </w:r>
    </w:p>
    <w:p w14:paraId="26AE93BC" w14:textId="77777777" w:rsidR="00CD50B9" w:rsidRPr="00CD50B9" w:rsidRDefault="00CD50B9" w:rsidP="00CD50B9">
      <w:pPr>
        <w:spacing w:before="100" w:beforeAutospacing="1" w:after="100" w:afterAutospacing="1"/>
        <w:rPr>
          <w:rFonts w:ascii="Times New Roman" w:hAnsi="Times New Roman" w:cs="Times New Roman"/>
        </w:rPr>
      </w:pPr>
      <w:r w:rsidRPr="00CD50B9">
        <w:rPr>
          <w:rFonts w:ascii="Verdana" w:hAnsi="Verdana" w:cs="Times New Roman"/>
          <w:i/>
          <w:iCs/>
          <w:sz w:val="20"/>
          <w:szCs w:val="20"/>
        </w:rPr>
        <w:t>The book was a little difficult for Bradley as he encountered a lot of new and/or unfamiliar vocabulary. When I encouraged him to use some of the different strategies he knew, he was able to figure out what many of the words meant based on context clues. When he had difficulty with a particular page, I would ask him to summarize what had just happened on the previous page and then I would ask him to predict what might happen next.</w:t>
      </w:r>
    </w:p>
    <w:p w14:paraId="12665516" w14:textId="77777777" w:rsidR="00CD50B9" w:rsidRPr="00CD50B9" w:rsidRDefault="00CD50B9" w:rsidP="00CD50B9">
      <w:pPr>
        <w:spacing w:before="100" w:beforeAutospacing="1" w:after="100" w:afterAutospacing="1"/>
        <w:rPr>
          <w:rFonts w:ascii="Times New Roman" w:hAnsi="Times New Roman" w:cs="Times New Roman"/>
        </w:rPr>
      </w:pPr>
      <w:r w:rsidRPr="00CD50B9">
        <w:rPr>
          <w:rFonts w:ascii="Verdana" w:hAnsi="Verdana" w:cs="Times New Roman"/>
          <w:i/>
          <w:iCs/>
          <w:sz w:val="20"/>
          <w:szCs w:val="20"/>
        </w:rPr>
        <w:t>I have now observed Bradley consistently using a range of reading strategies to help him decode and understand the book. He breaks words into manageable chunks, uses phonics knowledge, skips words, and repeats sentences to gain momentum and contextual information. His strategies work for him because he always has a good understanding of what he has read, even when it seems he's miscued or omitted an important word.</w:t>
      </w:r>
    </w:p>
    <w:p w14:paraId="7ADAF2E6" w14:textId="77777777" w:rsidR="00CD50B9" w:rsidRPr="00CD50B9" w:rsidRDefault="00CD50B9" w:rsidP="00CD50B9">
      <w:pPr>
        <w:spacing w:before="100" w:beforeAutospacing="1" w:afterAutospacing="1"/>
        <w:rPr>
          <w:rFonts w:ascii="Times New Roman" w:hAnsi="Times New Roman" w:cs="Times New Roman"/>
        </w:rPr>
      </w:pPr>
      <w:r w:rsidRPr="00CD50B9">
        <w:rPr>
          <w:rFonts w:ascii="Verdana" w:hAnsi="Verdana" w:cs="Times New Roman"/>
          <w:i/>
          <w:iCs/>
          <w:sz w:val="20"/>
          <w:szCs w:val="20"/>
        </w:rPr>
        <w:t>Bradley and I discussed many aspects of the story while we were reading. We talked about how we thought the characters felt at different points in the story. Bradley seemed to understand the concept of irony, though I didn't name it for him. Thinking about it again now, I really should have.</w:t>
      </w:r>
    </w:p>
    <w:p w14:paraId="3CA54D74" w14:textId="77777777" w:rsidR="00CD50B9" w:rsidRPr="00CD50B9" w:rsidRDefault="00CD50B9" w:rsidP="00CD50B9">
      <w:pPr>
        <w:spacing w:before="100" w:beforeAutospacing="1" w:after="100" w:afterAutospacing="1"/>
        <w:rPr>
          <w:rFonts w:ascii="Times New Roman" w:hAnsi="Times New Roman" w:cs="Times New Roman"/>
        </w:rPr>
      </w:pPr>
      <w:r w:rsidRPr="00CD50B9">
        <w:rPr>
          <w:rFonts w:ascii="Verdana" w:hAnsi="Verdana" w:cs="Times New Roman"/>
          <w:sz w:val="20"/>
          <w:szCs w:val="20"/>
        </w:rPr>
        <w:t>For an experienced teacher, let alone a beginner, in any given teaching moment there is so much to attend to - multiple, often fleeting and disconnected observations, and any number of possible responses and instructional decisions - but there is no freeze-frame button. Theory, however, provides a way to systematically organize this seeming blur of impressions and potential actions into a more coherent interpretation. A teacher's theory empowers her to make connections among observations and to establish patterns from which to respond and make thoughtful teaching decisions. Because of her theoretical understanding of the reading process, Melissa was in a position to reflect-in-action (Schön, 1982) on Bradley's reading and to suggest larger text-based strategies (summarizing and predicting) when he became "bogged down" in new or unfamiliar vocabulary. This theoretical knowledge enabled her to resist teaching practices she had experienced in her own schooling and observed in her first-year practicum that stressed accurate, word-for-word reading. She also believed in inviting Bradley into new intellectual conversations - in this particular reflection, exploring the concept of irony. As Melissa had opportunities to unify theory and practice by talking and writing about connections she noticed, and by testing out her theory, she momentarily "fixed" her messy, under-construction understandings, knowledge and beliefs. This allowed her, in turn, to build self-confidence in what she knew and the teaching actions she might take.</w:t>
      </w:r>
    </w:p>
    <w:p w14:paraId="2C992432" w14:textId="77777777" w:rsidR="00CD50B9" w:rsidRPr="00CD50B9" w:rsidRDefault="00CD50B9" w:rsidP="00CD50B9">
      <w:pPr>
        <w:spacing w:before="100" w:beforeAutospacing="1" w:after="100" w:afterAutospacing="1"/>
        <w:jc w:val="center"/>
        <w:rPr>
          <w:rFonts w:ascii="Times New Roman" w:hAnsi="Times New Roman" w:cs="Times New Roman"/>
        </w:rPr>
      </w:pPr>
      <w:r w:rsidRPr="00CD50B9">
        <w:rPr>
          <w:rFonts w:ascii="Verdana" w:hAnsi="Verdana" w:cs="Times New Roman"/>
          <w:b/>
          <w:bCs/>
          <w:sz w:val="20"/>
          <w:szCs w:val="20"/>
        </w:rPr>
        <w:t>Rethinking Arising Out of Tensions Between Theory and Practice</w:t>
      </w:r>
    </w:p>
    <w:p w14:paraId="0A0E6FD4" w14:textId="77777777" w:rsidR="00CD50B9" w:rsidRPr="00CD50B9" w:rsidRDefault="00CD50B9" w:rsidP="00CD50B9">
      <w:pPr>
        <w:spacing w:before="100" w:beforeAutospacing="1" w:after="100" w:afterAutospacing="1"/>
        <w:rPr>
          <w:rFonts w:ascii="Times New Roman" w:hAnsi="Times New Roman" w:cs="Times New Roman"/>
        </w:rPr>
      </w:pPr>
      <w:r w:rsidRPr="00CD50B9">
        <w:rPr>
          <w:rFonts w:ascii="Verdana" w:hAnsi="Verdana" w:cs="Times New Roman"/>
          <w:sz w:val="20"/>
          <w:szCs w:val="20"/>
        </w:rPr>
        <w:t>Reflecting further on her second school visit, Melissa wrote:</w:t>
      </w:r>
    </w:p>
    <w:p w14:paraId="66E4CD70" w14:textId="77777777" w:rsidR="00CD50B9" w:rsidRPr="00CD50B9" w:rsidRDefault="00CD50B9" w:rsidP="00CD50B9">
      <w:pPr>
        <w:spacing w:beforeAutospacing="1" w:after="100" w:afterAutospacing="1"/>
        <w:rPr>
          <w:rFonts w:ascii="Times New Roman" w:hAnsi="Times New Roman" w:cs="Times New Roman"/>
        </w:rPr>
      </w:pPr>
      <w:r w:rsidRPr="00CD50B9">
        <w:rPr>
          <w:rFonts w:ascii="Verdana" w:hAnsi="Verdana" w:cs="Times New Roman"/>
          <w:i/>
          <w:iCs/>
          <w:sz w:val="20"/>
          <w:szCs w:val="20"/>
        </w:rPr>
        <w:t>After we read </w:t>
      </w:r>
      <w:r w:rsidRPr="00CD50B9">
        <w:rPr>
          <w:rFonts w:ascii="Verdana" w:hAnsi="Verdana" w:cs="Times New Roman"/>
          <w:i/>
          <w:iCs/>
          <w:sz w:val="20"/>
          <w:szCs w:val="20"/>
          <w:u w:val="single"/>
        </w:rPr>
        <w:t>Sylvester and the Magic Pebble</w:t>
      </w:r>
      <w:r w:rsidRPr="00CD50B9">
        <w:rPr>
          <w:rFonts w:ascii="Verdana" w:hAnsi="Verdana" w:cs="Times New Roman"/>
          <w:i/>
          <w:iCs/>
          <w:sz w:val="20"/>
          <w:szCs w:val="20"/>
        </w:rPr>
        <w:t>, I asked Bradley to start brainstorming ideas for his own story about a magic rock. There - that's what I would change if I could do it differently. I basically said, "Go forth and write about that which </w:t>
      </w:r>
      <w:r w:rsidRPr="00CD50B9">
        <w:rPr>
          <w:rFonts w:ascii="Verdana" w:hAnsi="Verdana" w:cs="Times New Roman"/>
          <w:b/>
          <w:bCs/>
          <w:i/>
          <w:iCs/>
          <w:sz w:val="20"/>
          <w:szCs w:val="20"/>
        </w:rPr>
        <w:t>I</w:t>
      </w:r>
      <w:r w:rsidRPr="00CD50B9">
        <w:rPr>
          <w:rFonts w:ascii="Verdana" w:hAnsi="Verdana" w:cs="Times New Roman"/>
          <w:i/>
          <w:iCs/>
          <w:sz w:val="20"/>
          <w:szCs w:val="20"/>
        </w:rPr>
        <w:t> consider worthy." I don't even know how it happened. What if that was not the connection he made to the story? What if he really wanted to write about donkeys as a consequence of reading this book? I'll never know because I was utterly focused on the rock thing! It's embarrassing.</w:t>
      </w:r>
    </w:p>
    <w:p w14:paraId="72AA2F14" w14:textId="77777777" w:rsidR="00CD50B9" w:rsidRPr="00CD50B9" w:rsidRDefault="00CD50B9" w:rsidP="00CD50B9">
      <w:pPr>
        <w:spacing w:before="100" w:beforeAutospacing="1" w:after="100" w:afterAutospacing="1"/>
        <w:rPr>
          <w:rFonts w:ascii="Times New Roman" w:hAnsi="Times New Roman" w:cs="Times New Roman"/>
        </w:rPr>
      </w:pPr>
      <w:r w:rsidRPr="00CD50B9">
        <w:rPr>
          <w:rFonts w:ascii="Verdana" w:hAnsi="Verdana" w:cs="Times New Roman"/>
          <w:i/>
          <w:iCs/>
          <w:sz w:val="20"/>
          <w:szCs w:val="20"/>
        </w:rPr>
        <w:t>Thankfully, Bradley is a confident, diplomatic boy. He pursued his own connection anyway, in spite of my unintentional prescription. The way he did so reveals a lot about him. He started sketching some of the ideas for a story, and began naturally with a large, round boulder in the middle of the page. Then, as he discovered Goku - the character that would eventually occupy centre stage in his story - he became more and more eager to bring him into focus. After spending considerable time sketching Goku's motorcycle and castle, he erased the rock altogether. Bradley composed aspects of the story aloud while he was drawing and I took notes. Later, when he took control of the pencil himself, he wrote - seemingly out of nowhere - "and Goku saw the rock was gone and he couldn't believe it." As no rock had been mentioned in his story (and he had already erased the rock he had drawn), there was no rock to disappear. It's obvious that Bradley was simply trying to appease me by putting a small piece of what he thought I wanted to hear into his story. This taught me a lot about Bradley. He tries his hardest to please other people. Thankfully he was assertive enough to go off in his own direction even when he felt compelled to complete the task I had set.</w:t>
      </w:r>
    </w:p>
    <w:p w14:paraId="05DD19F7" w14:textId="77777777" w:rsidR="00CD50B9" w:rsidRPr="00CD50B9" w:rsidRDefault="00CD50B9" w:rsidP="00CD50B9">
      <w:pPr>
        <w:spacing w:before="100" w:beforeAutospacing="1" w:afterAutospacing="1"/>
        <w:rPr>
          <w:rFonts w:ascii="Times New Roman" w:hAnsi="Times New Roman" w:cs="Times New Roman"/>
        </w:rPr>
      </w:pPr>
      <w:r w:rsidRPr="00CD50B9">
        <w:rPr>
          <w:rFonts w:ascii="Verdana" w:hAnsi="Verdana" w:cs="Times New Roman"/>
          <w:i/>
          <w:iCs/>
          <w:sz w:val="20"/>
          <w:szCs w:val="20"/>
        </w:rPr>
        <w:t>What I learned from this experience is that every word out of a teacher's mouth is important. I cannot be blasé about it - what I say has a real effect on the children I teach. This isn't a stunning revelation, I know. But the realization that I unknowingly had this effect on Bradley because I didn't consciously monitor my language use stunned me nonetheless. I have to be more sensitive about giving children honest space if I want them to write creatively, instead of boxing them in right from the beginning.</w:t>
      </w:r>
    </w:p>
    <w:p w14:paraId="0E39CA69"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Was Melissa making too much of this scenario? I don't think so. What she sensitively observed in Bradley's sketching and writing were his attempts to please her - "to complete the task [she] had set." Theoretically, in this small incident, Melissa interrogates the transformative potential of critical democracy as a "way of life" in the classroom (Dewey, 1938/63; Greene, 1988; Freire, 1998; among others). Bradley's initial "large, round boulder" sketch and his written explanation of the disappearance of the rock from the story suggests to Melissa that he subordinately positioned himself with respect to her authority as a teacher. While Melissa does not frame her discomfort from a critical democracy perspective, she is concerned that prescribing the topic for Bradley's writing potentially constrained his voice and choice as a writer (even though he found a way around this). Melissa's theory acts as a "self-corrective device" (Harste et al., 2004) - next time she will find a way to give young writers "honest space…instead of boxing them in right from the beginning." In many early years literacy classrooms, teachers without Melissa's theoretical stance might never think twice about how prescribing writing topics can constrain how young writers position themselves (thereby maintaining typical, hegemonic, classroom power relationships). And, just as Melissa wished she had named "the concept of irony" for Bradley and invited him into an intellectual conversation about it, I wished I had similarly named this "critical democracy" concept for Melissa and begun an intellectual conversation about it with her.</w:t>
      </w:r>
    </w:p>
    <w:p w14:paraId="5A16E207" w14:textId="77777777" w:rsidR="00CD50B9" w:rsidRPr="00CD50B9" w:rsidRDefault="00CD50B9" w:rsidP="00CD50B9">
      <w:pPr>
        <w:spacing w:before="100" w:beforeAutospacing="1" w:after="100" w:afterAutospacing="1"/>
        <w:jc w:val="center"/>
        <w:rPr>
          <w:rFonts w:ascii="Verdana" w:hAnsi="Verdana" w:cs="Times New Roman"/>
        </w:rPr>
      </w:pPr>
      <w:r w:rsidRPr="00CD50B9">
        <w:rPr>
          <w:rFonts w:ascii="Verdana" w:hAnsi="Verdana" w:cs="Times New Roman"/>
          <w:b/>
          <w:bCs/>
          <w:sz w:val="20"/>
          <w:szCs w:val="20"/>
        </w:rPr>
        <w:t>Taking Time to Clarify What Matters and To Whom</w:t>
      </w:r>
    </w:p>
    <w:p w14:paraId="3AEA161D"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While I missed the opportunity to dialogue with Melissa about "critical democracy" related to her meeting with Bradley, fortunately the opportunity to revisit this concept resurfaced the following week in our university Language and Literacy class. </w:t>
      </w:r>
    </w:p>
    <w:p w14:paraId="415F1BC5"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In written responses to teacher candidates' reflections, and in informal conversations with teacher candidates and their grade 3 and 4 partners during the second week, Denise and Lisa (the two classroom teachers) had asked teacher candidates why they had chosen their particular inquiry-based literacy topics. While the overriding focus of the University of Manitoba/Elmfield School experiment was a response to the questions "who is your child partner as a literacy user/learner? and "how will you support his/her learning?," the specific topics of study and literacy processes highlighted were left to teacher candidates to collaboratively negotiate with the children. </w:t>
      </w:r>
    </w:p>
    <w:p w14:paraId="78B9281C"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While it was expected that the children would be engaged in learning literacy, learning about literacy, and learning through literacy (Halliday, 1982), and that teacher candidates would plan with relevant and essential ideas from the Manitoba English Language Arts curriculum (Manitoba Education and Training, 1996), the actual topic of study was left to the child/teacher candidate partners to decide. What had begun to worry Denise and Lisa was that the children might have pressured teacher candidates to choose only topics that came from the children's outside-of-school experiences with popular culture (television shows, video games, advertisements, etc.). They worried that some of these topics might not only have limited depth in terms of new learning for the children, but even more that they could be steeped in "violence" - which the two of them abhorred and which they had tried hard to exclude from any classroom literacy endeavours. </w:t>
      </w:r>
    </w:p>
    <w:p w14:paraId="7244A850"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In response to Denise and Lisa's concerns, at our next university class I shared a short passage from Anne Haas Dyson's (1997) book </w:t>
      </w:r>
      <w:r w:rsidRPr="00CD50B9">
        <w:rPr>
          <w:rFonts w:ascii="Verdana" w:hAnsi="Verdana" w:cs="Times New Roman"/>
          <w:sz w:val="20"/>
          <w:szCs w:val="20"/>
          <w:u w:val="single"/>
        </w:rPr>
        <w:t>Writing Superheroes: Contemporary Childhood, Popular Culture, and Classroom Literacy</w:t>
      </w:r>
      <w:r w:rsidRPr="00CD50B9">
        <w:rPr>
          <w:rFonts w:ascii="Verdana" w:hAnsi="Verdana" w:cs="Times New Roman"/>
          <w:sz w:val="20"/>
          <w:szCs w:val="20"/>
        </w:rPr>
        <w:t>, explained Denise and Lisa's position, and opened up the conversation to the class. In her third week's reflection, Melissa picked up on this class conversation:</w:t>
      </w:r>
    </w:p>
    <w:p w14:paraId="4EFA05DD" w14:textId="77777777" w:rsidR="00CD50B9" w:rsidRPr="00CD50B9" w:rsidRDefault="00CD50B9" w:rsidP="00CD50B9">
      <w:pPr>
        <w:spacing w:beforeAutospacing="1" w:afterAutospacing="1"/>
        <w:rPr>
          <w:rFonts w:ascii="Times New Roman" w:hAnsi="Times New Roman" w:cs="Times New Roman"/>
        </w:rPr>
      </w:pPr>
      <w:r w:rsidRPr="00CD50B9">
        <w:rPr>
          <w:rFonts w:ascii="Verdana" w:hAnsi="Verdana" w:cs="Times New Roman"/>
          <w:i/>
          <w:iCs/>
          <w:sz w:val="20"/>
          <w:szCs w:val="20"/>
        </w:rPr>
        <w:t>I'm going to change gears here and write a little about what was addressed in class this week - some children's propensity to violence in story writing. The only time so far that Bradley has brought any violence into his story was during our second visit, when we had just begun to talk about the possible places the action of his story might go. When the library in his story was magically transformed into a castle, he imagined a guard trying to protect the castle with violent force. It's tricky though, because it's accurate - probably what a guard would do when faced with a trespasser. Bradley got it exactly right. In addition, in medieval literature (and Bradley's story - with its concoction of magic, castles, and a guard - is thematically in this vein) sword fights and knight and dragon battles occur with frequency. It's a staple of the genre. Medieval literature isn't the only place where violence is used to heighten the drama - Shakespeare is full of violence and murder and gruesome deaths. Is violence okay in the classroom when it has a literary connection? But is it not okay when it has a pop culture connection? Why is this? Who decides? It sure is a pickle.</w:t>
      </w:r>
    </w:p>
    <w:p w14:paraId="68BFD26A"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Melissa's questions created a second natural opportunity for the critical democracy conversation I missed having with her the previous week. In margin comments, I agreed with her that if we concur with Lankshear and Knobel's (2003) descriptions of the multiple, changing, digitally saturated, and socially and politically constructed nature of "new literacies" in today's world, then why would violence be acceptable when served up in literature but not in popular, digital genres? But not having sufficient experience with the popular digital genres with which some of the children were familiar, we wondered if there was a difference in the nature of violence represented in children's literature and children's popular culture, and if this difference itself needed to be critically interrogated? From this conversation, we decided that we had a responsibility to help children understand how literacy in whatever form positions them and others (Gee, 1996; Luke &amp; Freebody, 1997). "If, as teachers, we consider violence as a repugnant social value," I wrote to Melissa, "then is it not our responsibility to make violence problematic wherever children encounter it - especially where it is most common place or taken for granted in the children's everyday lives?" I offered Melissa a copy of a </w:t>
      </w:r>
      <w:r w:rsidRPr="00CD50B9">
        <w:rPr>
          <w:rFonts w:ascii="Verdana" w:hAnsi="Verdana" w:cs="Times New Roman"/>
          <w:i/>
          <w:iCs/>
          <w:sz w:val="20"/>
          <w:szCs w:val="20"/>
        </w:rPr>
        <w:t>School Talk </w:t>
      </w:r>
      <w:r w:rsidRPr="00CD50B9">
        <w:rPr>
          <w:rFonts w:ascii="Verdana" w:hAnsi="Verdana" w:cs="Times New Roman"/>
          <w:sz w:val="20"/>
          <w:szCs w:val="20"/>
        </w:rPr>
        <w:t>(October, 2002), a professional literacy newsletter, titled "Everyday Texts/Everyday Literacies," which I had just read. </w:t>
      </w:r>
    </w:p>
    <w:p w14:paraId="21F81243"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In her final reflection, Melissa gained enough distance from her next couple of writing sessions with Bradley to re-examine what mattered most to her and to Bradley. She now appreciated that every writing lesson she taught was not of equal value to Bradley. Her literacy theory functions here as a device for helping her to make practice decisions about what she would de-emphasize if she were to plan these lessons again. At the time that she was teaching these lessons, she had too many pieces of the puzzle to work with. In this more distanced reflection, she came to understand her teaching practice with more clarity. I believe her reflection is evidence of her growing intellectual flexibility: </w:t>
      </w:r>
    </w:p>
    <w:p w14:paraId="44E16171" w14:textId="77777777" w:rsidR="00CD50B9" w:rsidRPr="00CD50B9" w:rsidRDefault="00CD50B9" w:rsidP="00CD50B9">
      <w:pPr>
        <w:spacing w:beforeAutospacing="1" w:after="100" w:afterAutospacing="1"/>
        <w:rPr>
          <w:rFonts w:ascii="Times New Roman" w:hAnsi="Times New Roman" w:cs="Times New Roman"/>
        </w:rPr>
      </w:pPr>
      <w:r w:rsidRPr="00CD50B9">
        <w:rPr>
          <w:rFonts w:ascii="Verdana" w:hAnsi="Verdana" w:cs="Times New Roman"/>
          <w:i/>
          <w:iCs/>
          <w:sz w:val="20"/>
          <w:szCs w:val="20"/>
        </w:rPr>
        <w:t>During the next couple of sessions, Bradley worked on his story. As he wrote, we discussed the ideas as they developed and I found myself continually asking him questions about the relationships between characters, the motivations each character had to keep the book from each other, and most especially, his understanding of the inherent importance of this book. His answer was consistently, "because it's Goku's. He wrote it." The fact that Goku wrote it was reason enough to go to the ends of the earth if he had to, to get it back. I think this reasoning reveals a lot about Bradley's feelings about writing and the incredible importance of owning one's writing.</w:t>
      </w:r>
    </w:p>
    <w:p w14:paraId="1564025F" w14:textId="77777777" w:rsidR="00CD50B9" w:rsidRPr="00CD50B9" w:rsidRDefault="00CD50B9" w:rsidP="00CD50B9">
      <w:pPr>
        <w:spacing w:before="100" w:beforeAutospacing="1" w:after="100" w:afterAutospacing="1"/>
        <w:rPr>
          <w:rFonts w:ascii="Times New Roman" w:hAnsi="Times New Roman" w:cs="Times New Roman"/>
        </w:rPr>
      </w:pPr>
      <w:r w:rsidRPr="00CD50B9">
        <w:rPr>
          <w:rFonts w:ascii="Verdana" w:hAnsi="Verdana" w:cs="Times New Roman"/>
          <w:i/>
          <w:iCs/>
          <w:sz w:val="20"/>
          <w:szCs w:val="20"/>
        </w:rPr>
        <w:t>The discussion also revealed a potential for a future lesson. At times, I became confused with the plot line of the story, and wondered if it was simply because Bradley had not yet ordered his ideas into a logical sequence. I decided to work with him on that.</w:t>
      </w:r>
    </w:p>
    <w:p w14:paraId="38BBB394" w14:textId="77777777" w:rsidR="00CD50B9" w:rsidRPr="00CD50B9" w:rsidRDefault="00CD50B9" w:rsidP="00CD50B9">
      <w:pPr>
        <w:spacing w:before="100" w:beforeAutospacing="1" w:afterAutospacing="1"/>
        <w:rPr>
          <w:rFonts w:ascii="Times New Roman" w:hAnsi="Times New Roman" w:cs="Times New Roman"/>
        </w:rPr>
      </w:pPr>
      <w:r w:rsidRPr="00CD50B9">
        <w:rPr>
          <w:rFonts w:ascii="Verdana" w:hAnsi="Verdana" w:cs="Times New Roman"/>
          <w:i/>
          <w:iCs/>
          <w:sz w:val="20"/>
          <w:szCs w:val="20"/>
        </w:rPr>
        <w:t>I think the work we did on revision was really valuable, but my weekly reflections show that I may have turned this into too big of a focus for Bradley. In my future classroom, when I have the scope of an entire year to work with children, I would never ask a child to revise and edit his work as early in the game as I asked of Bradley. However, I think the time factor influenced my decision to push the process up a bit. We worked on writing with a reader in mind; organising ideas logically; condensing small sentences into a single, coherent sentence; and inserting dialogue markers to help keep the ideas clear. I don't think I would eliminate these lessons if I was to do it again, but for Bradley's sake I think I would have given some of them much less time. I did worry about burning out his love of writing. My writing lessons were well intentioned, but perhaps a bit over the top.</w:t>
      </w:r>
    </w:p>
    <w:p w14:paraId="13E51008" w14:textId="77777777" w:rsidR="00CD50B9" w:rsidRPr="00CD50B9" w:rsidRDefault="00CD50B9" w:rsidP="00CD50B9">
      <w:pPr>
        <w:spacing w:before="100" w:beforeAutospacing="1" w:after="100" w:afterAutospacing="1"/>
        <w:jc w:val="center"/>
        <w:rPr>
          <w:rFonts w:ascii="Verdana" w:hAnsi="Verdana" w:cs="Times New Roman"/>
        </w:rPr>
      </w:pPr>
      <w:r w:rsidRPr="00CD50B9">
        <w:rPr>
          <w:rFonts w:ascii="Verdana" w:hAnsi="Verdana" w:cs="Times New Roman"/>
          <w:b/>
          <w:bCs/>
          <w:sz w:val="20"/>
          <w:szCs w:val="20"/>
        </w:rPr>
        <w:t>Savouring the Experience</w:t>
      </w:r>
    </w:p>
    <w:p w14:paraId="55A4BF86"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In the rush of the moment, when we are faced with making on-the-spot teaching decisions, it is sometimes difficult to appreciate the value of what has been accomplished. Reflective writing, after some time away from the experience of searching for answers and strategies to immediate problems, can sometimes provide the time and space needed to regroup and savour all that has been done. There is a distinct tone of celebration in Melissa's reflection on her final teaching sessions with Bradley:</w:t>
      </w:r>
    </w:p>
    <w:p w14:paraId="2C544F7F" w14:textId="77777777" w:rsidR="00CD50B9" w:rsidRPr="00CD50B9" w:rsidRDefault="00CD50B9" w:rsidP="00CD50B9">
      <w:pPr>
        <w:spacing w:beforeAutospacing="1" w:after="100" w:afterAutospacing="1"/>
        <w:rPr>
          <w:rFonts w:ascii="Times New Roman" w:hAnsi="Times New Roman" w:cs="Times New Roman"/>
        </w:rPr>
      </w:pPr>
      <w:r w:rsidRPr="00CD50B9">
        <w:rPr>
          <w:rFonts w:ascii="Verdana" w:hAnsi="Verdana" w:cs="Times New Roman"/>
          <w:i/>
          <w:iCs/>
          <w:sz w:val="20"/>
          <w:szCs w:val="20"/>
        </w:rPr>
        <w:t>Of course, in spite of my misgivings and stuttered attempts at teaching competence, Bradley showed continuous enthusiasm. When </w:t>
      </w:r>
      <w:r w:rsidRPr="00CD50B9">
        <w:rPr>
          <w:rFonts w:ascii="Verdana" w:hAnsi="Verdana" w:cs="Times New Roman"/>
          <w:i/>
          <w:iCs/>
          <w:sz w:val="20"/>
          <w:szCs w:val="20"/>
          <w:u w:val="single"/>
        </w:rPr>
        <w:t>his</w:t>
      </w:r>
      <w:r w:rsidRPr="00CD50B9">
        <w:rPr>
          <w:rFonts w:ascii="Verdana" w:hAnsi="Verdana" w:cs="Times New Roman"/>
          <w:i/>
          <w:iCs/>
          <w:sz w:val="20"/>
          <w:szCs w:val="20"/>
        </w:rPr>
        <w:t> interest in our revision and editing lessons began to wane, I knew I had taken things too far. That's when we changed gears a little bit, left the Goku story unfinished for the moment, and started sewing a quilt for his teddy bear (the idea for this new inquiry direction had grown out of a conversation we'd had the week before). Bradley loved learning to sew, loved the idea of making something for his bear, and looked forward to writing a good night poem for Snowball - the beginning of a bedtime ritual (I'm sure he also loved the break from revising and editing his story). Whatever the reason, our shift to the teddy bear project was a huge hit. Now I only wish we had started it sooner - we could have read some great stories, had a teddy bear picnic…. As it turned out, the writing that came out of this change of focus was beautiful. I think it's an example of wonderfully personal and relevant writing.</w:t>
      </w:r>
    </w:p>
    <w:p w14:paraId="397A907B" w14:textId="77777777" w:rsidR="00CD50B9" w:rsidRPr="00CD50B9" w:rsidRDefault="00CD50B9" w:rsidP="00CD50B9">
      <w:pPr>
        <w:spacing w:before="100" w:beforeAutospacing="1" w:after="100" w:afterAutospacing="1"/>
        <w:rPr>
          <w:rFonts w:ascii="Times New Roman" w:hAnsi="Times New Roman" w:cs="Times New Roman"/>
        </w:rPr>
      </w:pPr>
      <w:r w:rsidRPr="00CD50B9">
        <w:rPr>
          <w:rFonts w:ascii="Verdana" w:hAnsi="Verdana" w:cs="Times New Roman"/>
          <w:i/>
          <w:iCs/>
          <w:sz w:val="20"/>
          <w:szCs w:val="20"/>
        </w:rPr>
        <w:t>We quickly went over the mechanical necessities for making a quilt - making sure our square patches were symmetrical, threading the needle, planning the design, and sewing the squares together. Next, we began to think about the place to put the poem once we had written it. We talked about putting one word in each square.</w:t>
      </w:r>
    </w:p>
    <w:p w14:paraId="2E059441" w14:textId="77777777" w:rsidR="00CD50B9" w:rsidRPr="00CD50B9" w:rsidRDefault="00CD50B9" w:rsidP="00CD50B9">
      <w:pPr>
        <w:spacing w:before="100" w:beforeAutospacing="1" w:afterAutospacing="1"/>
        <w:rPr>
          <w:rFonts w:ascii="Times New Roman" w:hAnsi="Times New Roman" w:cs="Times New Roman"/>
        </w:rPr>
      </w:pPr>
      <w:r w:rsidRPr="00CD50B9">
        <w:rPr>
          <w:rFonts w:ascii="Verdana" w:hAnsi="Verdana" w:cs="Times New Roman"/>
          <w:i/>
          <w:iCs/>
          <w:sz w:val="20"/>
          <w:szCs w:val="20"/>
        </w:rPr>
        <w:t>Bradley began to tell me what Snowball was thinking about, tucked under his new quilt. Instead of telling me, I suggested he write down what he was about to say. Just like that, Bradley had the first stanza for his poem. "So, you can imagine what Snowball would do if he were alive?" I asked. He wrote a second stanza. The logical next question following from his second stanza was: "If he were part of our literacy inquiry study what would he want to learn?" Bradley answered this question with 3 sentences, and immediately commented that it was beginning to look more like another story than a poem. It was a good observation because although his language sounded poetic, the way the words were arranged on the page was decidedly prose-like. I suggested he could do two things to turn this story back into a poem. He could separate his ideas into lines and stanzas; but this could happen later, after he had his ideas down (after our Goku story writing, this made even more sense to me than it did before the project began). I helped him trim the fat from his sentences. He kept only the most important words or ideas. The last stanza emerged when I asked him if there was anything else he wanted to add before Snowball fell asleep. I had a picture of sheep in my head, but Bradley came up with the image of counting stars, following from Snowball's learning to add. He wrote the last line and…"ta-da" - a poem:</w:t>
      </w:r>
    </w:p>
    <w:tbl>
      <w:tblPr>
        <w:tblW w:w="10000" w:type="dxa"/>
        <w:tblCellSpacing w:w="20" w:type="dxa"/>
        <w:tblCellMar>
          <w:top w:w="40" w:type="dxa"/>
          <w:left w:w="40" w:type="dxa"/>
          <w:bottom w:w="40" w:type="dxa"/>
          <w:right w:w="40" w:type="dxa"/>
        </w:tblCellMar>
        <w:tblLook w:val="04A0" w:firstRow="1" w:lastRow="0" w:firstColumn="1" w:lastColumn="0" w:noHBand="0" w:noVBand="1"/>
      </w:tblPr>
      <w:tblGrid>
        <w:gridCol w:w="2357"/>
        <w:gridCol w:w="7643"/>
      </w:tblGrid>
      <w:tr w:rsidR="00CD50B9" w:rsidRPr="00CD50B9" w14:paraId="5D33CA23" w14:textId="77777777" w:rsidTr="00CD50B9">
        <w:trPr>
          <w:tblCellSpacing w:w="20" w:type="dxa"/>
        </w:trPr>
        <w:tc>
          <w:tcPr>
            <w:tcW w:w="2260" w:type="dxa"/>
            <w:vAlign w:val="center"/>
            <w:hideMark/>
          </w:tcPr>
          <w:p w14:paraId="271545BA" w14:textId="77777777" w:rsidR="00CD50B9" w:rsidRPr="00CD50B9" w:rsidRDefault="00CD50B9" w:rsidP="00CD50B9">
            <w:pPr>
              <w:rPr>
                <w:rFonts w:ascii="Times New Roman" w:eastAsia="Times New Roman" w:hAnsi="Times New Roman" w:cs="Times New Roman"/>
              </w:rPr>
            </w:pPr>
            <w:r w:rsidRPr="00CD50B9">
              <w:rPr>
                <w:rFonts w:ascii="Times New Roman" w:eastAsia="Times New Roman" w:hAnsi="Times New Roman" w:cs="Times New Roman"/>
              </w:rPr>
              <w:t> </w:t>
            </w:r>
          </w:p>
        </w:tc>
        <w:tc>
          <w:tcPr>
            <w:tcW w:w="7460" w:type="dxa"/>
            <w:vAlign w:val="center"/>
            <w:hideMark/>
          </w:tcPr>
          <w:p w14:paraId="7620A850" w14:textId="77777777" w:rsidR="00CD50B9" w:rsidRPr="00CD50B9" w:rsidRDefault="00CD50B9" w:rsidP="00CD50B9">
            <w:pPr>
              <w:spacing w:before="100" w:beforeAutospacing="1" w:after="100" w:afterAutospacing="1"/>
              <w:rPr>
                <w:rFonts w:ascii="Times New Roman" w:hAnsi="Times New Roman" w:cs="Times New Roman"/>
              </w:rPr>
            </w:pPr>
            <w:r w:rsidRPr="00CD50B9">
              <w:rPr>
                <w:rFonts w:ascii="Courier New" w:hAnsi="Courier New" w:cs="Courier New"/>
                <w:sz w:val="20"/>
                <w:szCs w:val="20"/>
              </w:rPr>
              <w:t>Snowball</w:t>
            </w:r>
            <w:r w:rsidRPr="00CD50B9">
              <w:rPr>
                <w:rFonts w:ascii="Courier New" w:hAnsi="Courier New" w:cs="Courier New"/>
                <w:sz w:val="20"/>
                <w:szCs w:val="20"/>
              </w:rPr>
              <w:br/>
              <w:t>By Bradley</w:t>
            </w:r>
          </w:p>
          <w:p w14:paraId="5DE60AA8" w14:textId="77777777" w:rsidR="00CD50B9" w:rsidRPr="00CD50B9" w:rsidRDefault="00CD50B9" w:rsidP="00CD50B9">
            <w:pPr>
              <w:spacing w:before="100" w:beforeAutospacing="1" w:after="100" w:afterAutospacing="1"/>
              <w:rPr>
                <w:rFonts w:ascii="Times New Roman" w:hAnsi="Times New Roman" w:cs="Times New Roman"/>
              </w:rPr>
            </w:pPr>
            <w:r w:rsidRPr="00CD50B9">
              <w:rPr>
                <w:rFonts w:ascii="Courier New" w:hAnsi="Courier New" w:cs="Courier New"/>
                <w:sz w:val="20"/>
                <w:szCs w:val="20"/>
              </w:rPr>
              <w:t>My teddy bear thinks that</w:t>
            </w:r>
            <w:r w:rsidRPr="00CD50B9">
              <w:rPr>
                <w:rFonts w:ascii="Times New Roman" w:hAnsi="Times New Roman" w:cs="Times New Roman"/>
              </w:rPr>
              <w:br/>
            </w:r>
            <w:r w:rsidRPr="00CD50B9">
              <w:rPr>
                <w:rFonts w:ascii="Courier New" w:hAnsi="Courier New" w:cs="Courier New"/>
                <w:sz w:val="20"/>
                <w:szCs w:val="20"/>
              </w:rPr>
              <w:t>he can talk</w:t>
            </w:r>
            <w:r w:rsidRPr="00CD50B9">
              <w:rPr>
                <w:rFonts w:ascii="Courier New" w:hAnsi="Courier New" w:cs="Courier New"/>
                <w:sz w:val="20"/>
                <w:szCs w:val="20"/>
              </w:rPr>
              <w:br/>
              <w:t>and be alive</w:t>
            </w:r>
            <w:r w:rsidRPr="00CD50B9">
              <w:rPr>
                <w:rFonts w:ascii="Courier New" w:hAnsi="Courier New" w:cs="Courier New"/>
                <w:sz w:val="20"/>
                <w:szCs w:val="20"/>
              </w:rPr>
              <w:br/>
              <w:t>and walk on his</w:t>
            </w:r>
            <w:r w:rsidRPr="00CD50B9">
              <w:rPr>
                <w:rFonts w:ascii="Times New Roman" w:hAnsi="Times New Roman" w:cs="Times New Roman"/>
              </w:rPr>
              <w:br/>
            </w:r>
            <w:r w:rsidRPr="00CD50B9">
              <w:rPr>
                <w:rFonts w:ascii="Courier New" w:hAnsi="Courier New" w:cs="Courier New"/>
                <w:sz w:val="20"/>
                <w:szCs w:val="20"/>
              </w:rPr>
              <w:t>bare feet</w:t>
            </w:r>
            <w:r w:rsidRPr="00CD50B9">
              <w:rPr>
                <w:rFonts w:ascii="Times New Roman" w:hAnsi="Times New Roman" w:cs="Times New Roman"/>
              </w:rPr>
              <w:br/>
            </w:r>
            <w:r w:rsidRPr="00CD50B9">
              <w:rPr>
                <w:rFonts w:ascii="Courier New" w:hAnsi="Courier New" w:cs="Courier New"/>
                <w:sz w:val="20"/>
                <w:szCs w:val="20"/>
              </w:rPr>
              <w:t>If he were alive he would</w:t>
            </w:r>
            <w:r w:rsidRPr="00CD50B9">
              <w:rPr>
                <w:rFonts w:ascii="Times New Roman" w:hAnsi="Times New Roman" w:cs="Times New Roman"/>
              </w:rPr>
              <w:br/>
            </w:r>
            <w:r w:rsidRPr="00CD50B9">
              <w:rPr>
                <w:rFonts w:ascii="Courier New" w:hAnsi="Courier New" w:cs="Courier New"/>
                <w:sz w:val="20"/>
                <w:szCs w:val="20"/>
              </w:rPr>
              <w:t>swim </w:t>
            </w:r>
            <w:r w:rsidRPr="00CD50B9">
              <w:rPr>
                <w:rFonts w:ascii="Times New Roman" w:hAnsi="Times New Roman" w:cs="Times New Roman"/>
              </w:rPr>
              <w:br/>
            </w:r>
            <w:r w:rsidRPr="00CD50B9">
              <w:rPr>
                <w:rFonts w:ascii="Courier New" w:hAnsi="Courier New" w:cs="Courier New"/>
                <w:sz w:val="20"/>
                <w:szCs w:val="20"/>
              </w:rPr>
              <w:t>play sports </w:t>
            </w:r>
            <w:r w:rsidRPr="00CD50B9">
              <w:rPr>
                <w:rFonts w:ascii="Times New Roman" w:hAnsi="Times New Roman" w:cs="Times New Roman"/>
              </w:rPr>
              <w:br/>
            </w:r>
            <w:r w:rsidRPr="00CD50B9">
              <w:rPr>
                <w:rFonts w:ascii="Courier New" w:hAnsi="Courier New" w:cs="Courier New"/>
                <w:sz w:val="20"/>
                <w:szCs w:val="20"/>
              </w:rPr>
              <w:t>and learn</w:t>
            </w:r>
            <w:r w:rsidRPr="00CD50B9">
              <w:rPr>
                <w:rFonts w:ascii="Times New Roman" w:hAnsi="Times New Roman" w:cs="Times New Roman"/>
              </w:rPr>
              <w:br/>
            </w:r>
            <w:r w:rsidRPr="00CD50B9">
              <w:rPr>
                <w:rFonts w:ascii="Courier New" w:hAnsi="Courier New" w:cs="Courier New"/>
                <w:sz w:val="20"/>
                <w:szCs w:val="20"/>
              </w:rPr>
              <w:t>If he could learn he would </w:t>
            </w:r>
            <w:r w:rsidRPr="00CD50B9">
              <w:rPr>
                <w:rFonts w:ascii="Times New Roman" w:hAnsi="Times New Roman" w:cs="Times New Roman"/>
              </w:rPr>
              <w:br/>
            </w:r>
            <w:r w:rsidRPr="00CD50B9">
              <w:rPr>
                <w:rFonts w:ascii="Courier New" w:hAnsi="Courier New" w:cs="Courier New"/>
                <w:sz w:val="20"/>
                <w:szCs w:val="20"/>
              </w:rPr>
              <w:t>write </w:t>
            </w:r>
            <w:r w:rsidRPr="00CD50B9">
              <w:rPr>
                <w:rFonts w:ascii="Times New Roman" w:hAnsi="Times New Roman" w:cs="Times New Roman"/>
              </w:rPr>
              <w:br/>
            </w:r>
            <w:r w:rsidRPr="00CD50B9">
              <w:rPr>
                <w:rFonts w:ascii="Courier New" w:hAnsi="Courier New" w:cs="Courier New"/>
                <w:sz w:val="20"/>
                <w:szCs w:val="20"/>
              </w:rPr>
              <w:t>surf the net </w:t>
            </w:r>
            <w:r w:rsidRPr="00CD50B9">
              <w:rPr>
                <w:rFonts w:ascii="Times New Roman" w:hAnsi="Times New Roman" w:cs="Times New Roman"/>
              </w:rPr>
              <w:br/>
            </w:r>
            <w:r w:rsidRPr="00CD50B9">
              <w:rPr>
                <w:rFonts w:ascii="Courier New" w:hAnsi="Courier New" w:cs="Courier New"/>
                <w:sz w:val="20"/>
                <w:szCs w:val="20"/>
              </w:rPr>
              <w:t>and add</w:t>
            </w:r>
            <w:r w:rsidRPr="00CD50B9">
              <w:rPr>
                <w:rFonts w:ascii="Times New Roman" w:hAnsi="Times New Roman" w:cs="Times New Roman"/>
              </w:rPr>
              <w:t> </w:t>
            </w:r>
            <w:r w:rsidRPr="00CD50B9">
              <w:rPr>
                <w:rFonts w:ascii="Courier New" w:hAnsi="Courier New" w:cs="Courier New"/>
                <w:sz w:val="20"/>
                <w:szCs w:val="20"/>
              </w:rPr>
              <w:t>If he could add he would</w:t>
            </w:r>
            <w:r w:rsidRPr="00CD50B9">
              <w:rPr>
                <w:rFonts w:ascii="Times New Roman" w:hAnsi="Times New Roman" w:cs="Times New Roman"/>
              </w:rPr>
              <w:br/>
            </w:r>
            <w:r w:rsidRPr="00CD50B9">
              <w:rPr>
                <w:rFonts w:ascii="Courier New" w:hAnsi="Courier New" w:cs="Courier New"/>
                <w:sz w:val="20"/>
                <w:szCs w:val="20"/>
              </w:rPr>
              <w:t>count the stars to fall asleep</w:t>
            </w:r>
          </w:p>
        </w:tc>
      </w:tr>
    </w:tbl>
    <w:p w14:paraId="26DE8B44" w14:textId="77777777" w:rsidR="00CD50B9" w:rsidRPr="00CD50B9" w:rsidRDefault="00CD50B9" w:rsidP="00CD50B9">
      <w:pPr>
        <w:spacing w:beforeAutospacing="1" w:afterAutospacing="1"/>
        <w:rPr>
          <w:rFonts w:ascii="Times New Roman" w:hAnsi="Times New Roman" w:cs="Times New Roman"/>
        </w:rPr>
      </w:pPr>
      <w:r w:rsidRPr="00CD50B9">
        <w:rPr>
          <w:rFonts w:ascii="Verdana" w:hAnsi="Verdana" w:cs="Times New Roman"/>
          <w:i/>
          <w:iCs/>
          <w:sz w:val="20"/>
          <w:szCs w:val="20"/>
        </w:rPr>
        <w:t>I love this poem. It's so deeply personal, so childlike and sweet and spontaneous. The form was invented on the spot just through back-and-forth questions and answers. For my first attempt at guiding a child in poetry writing, I think it went well. I'm glad, because before this session, doing something like this seemed so completely elusive. This time I think I also did a better job of letting Bradley determine the direction his writing would take.</w:t>
      </w:r>
    </w:p>
    <w:p w14:paraId="42916E6B"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Finally, Melissa closes her reflection with these thoughts:</w:t>
      </w:r>
    </w:p>
    <w:p w14:paraId="6045D9FB" w14:textId="77777777" w:rsidR="00CD50B9" w:rsidRPr="00CD50B9" w:rsidRDefault="00CD50B9" w:rsidP="00CD50B9">
      <w:pPr>
        <w:spacing w:beforeAutospacing="1" w:after="100" w:afterAutospacing="1"/>
        <w:rPr>
          <w:rFonts w:ascii="Times New Roman" w:hAnsi="Times New Roman" w:cs="Times New Roman"/>
        </w:rPr>
      </w:pPr>
      <w:r w:rsidRPr="00CD50B9">
        <w:rPr>
          <w:rFonts w:ascii="Verdana" w:hAnsi="Verdana" w:cs="Times New Roman"/>
          <w:i/>
          <w:iCs/>
          <w:sz w:val="20"/>
          <w:szCs w:val="20"/>
        </w:rPr>
        <w:t>…In spite of my many self-criticisms, I am quite proud of the work the two of us did together. I think the teaching inquiry process I went through, as a teacher-learner, was valuable. I also think the literacy inquiry we did together led Bradley to a lot of practical writing strategies he will use in his future writing. We did a lot of work on revision - organizing the big ideas so that they make sense and compressing many small sentences into one or two juicy ones. We composed a poem just by asking and answering questions. We made literary connections to objects, ideas and experiences that are deeply personal. And, Bradley learned to use dialogue markers to separate speech from narrative.</w:t>
      </w:r>
    </w:p>
    <w:p w14:paraId="72C86D96" w14:textId="77777777" w:rsidR="00CD50B9" w:rsidRPr="00CD50B9" w:rsidRDefault="00CD50B9" w:rsidP="00CD50B9">
      <w:pPr>
        <w:spacing w:before="100" w:beforeAutospacing="1" w:afterAutospacing="1"/>
        <w:rPr>
          <w:rFonts w:ascii="Times New Roman" w:hAnsi="Times New Roman" w:cs="Times New Roman"/>
        </w:rPr>
      </w:pPr>
      <w:r w:rsidRPr="00CD50B9">
        <w:rPr>
          <w:rFonts w:ascii="Verdana" w:hAnsi="Verdana" w:cs="Times New Roman"/>
          <w:i/>
          <w:iCs/>
          <w:sz w:val="20"/>
          <w:szCs w:val="20"/>
        </w:rPr>
        <w:t>Even though the rock study didn't go anywhere, I think I did a good job of offering Bradley a "gazillion" possibilities for where he could have taken it. This is an aspect of my teaching in which I now have confidence - the ability to not only see the possibilities, but to present opportunities to follow them up.</w:t>
      </w:r>
    </w:p>
    <w:p w14:paraId="0E2119EB"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Theory and practice are never very far apart for Melissa. Assuming an inquiry teaching stance, she was determined to create consistency between what she believed theoretically and what she did in practice. For any teacher this is a complex and messy process, which demands constant revisiting (Harste et al., 2004). It is not likely something a "teacher-learner" (as she named herself) is ever likely to complete. </w:t>
      </w:r>
    </w:p>
    <w:p w14:paraId="26EBFAC1"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One of the pervasive strengths of this teacher education experiment, from my perspective, was that Melissa and her colleagues did not have to work out their theoretical practice entirely on their own. Theory was not the sole domain of the university, nor was the classroom the only legitimate place for exploring literacy practices. For the 6-week period of this experiment, the two were fused. As a teacher educator, I was in the fortunate position of being able to observe what teacher candidates were trying to do with their grade 3 and 4 partners and support them in our other university classes each week. For example, I knew that in Year 1 teacher candidates had given considerable thought to revision in terms of their own writing of family stories, as part of our university class writer's workshops. They had read professionally about revision, examined children's writing samples, and viewed videotapes of early years teachers working with young writers. But, when teacher candidates encountered the children's need to revise their writing in the authentic context of their literacy inquiries, we were now able to revisit this topic in a much more meaningful way - with genuine questions in mind and with children's real writing samples in hand. Theory now "served as an anchor, a self-renewing strategy, and a point of reflection" (Harste et al., 2004, p. 31) for our whole teacher education inquiry community. </w:t>
      </w:r>
    </w:p>
    <w:p w14:paraId="45FF824C"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At this celebratory point in this paper, it seems fitting to hear Bradley's voice. At the end of the 6 weeks, Denise and Lisa asked the children to reflect on their literacy inquiries with their university partners. These are Bradley’s comments (for the reader's sake, I have edited Bradley's spelling and punctuation):</w:t>
      </w:r>
    </w:p>
    <w:p w14:paraId="763682AF" w14:textId="77777777" w:rsidR="00CD50B9" w:rsidRPr="00CD50B9" w:rsidRDefault="00CD50B9" w:rsidP="00CD50B9">
      <w:pPr>
        <w:spacing w:beforeAutospacing="1" w:after="100" w:afterAutospacing="1"/>
        <w:rPr>
          <w:rFonts w:ascii="Times New Roman" w:hAnsi="Times New Roman" w:cs="Times New Roman"/>
        </w:rPr>
      </w:pPr>
      <w:r w:rsidRPr="00CD50B9">
        <w:rPr>
          <w:rFonts w:ascii="Verdana" w:hAnsi="Verdana" w:cs="Times New Roman"/>
          <w:i/>
          <w:iCs/>
          <w:sz w:val="20"/>
          <w:szCs w:val="20"/>
        </w:rPr>
        <w:t>I like how I made a very good story. It took a while to do and it's like an adventure. You would get excited! There's good language in it and we got words from a thesaurus. We wanted it to be cool and awesome. We brainstormed and thought a lot of the ideas ourselves and we also read parts from some other books. </w:t>
      </w:r>
    </w:p>
    <w:p w14:paraId="2440750D" w14:textId="77777777" w:rsidR="00CD50B9" w:rsidRPr="00CD50B9" w:rsidRDefault="00CD50B9" w:rsidP="00CD50B9">
      <w:pPr>
        <w:spacing w:before="100" w:beforeAutospacing="1" w:afterAutospacing="1"/>
        <w:rPr>
          <w:rFonts w:ascii="Times New Roman" w:hAnsi="Times New Roman" w:cs="Times New Roman"/>
        </w:rPr>
      </w:pPr>
      <w:r w:rsidRPr="00CD50B9">
        <w:rPr>
          <w:rFonts w:ascii="Verdana" w:hAnsi="Verdana" w:cs="Times New Roman"/>
          <w:i/>
          <w:iCs/>
          <w:sz w:val="20"/>
          <w:szCs w:val="20"/>
        </w:rPr>
        <w:t>I also like how I made a poem for my teddy and I have descriptive words in it. I wrote it from questions.</w:t>
      </w:r>
    </w:p>
    <w:p w14:paraId="57D748C4" w14:textId="77777777" w:rsidR="00CD50B9" w:rsidRPr="00CD50B9" w:rsidRDefault="00CD50B9" w:rsidP="00CD50B9">
      <w:pPr>
        <w:spacing w:before="100" w:beforeAutospacing="1" w:after="100" w:afterAutospacing="1"/>
        <w:jc w:val="center"/>
        <w:rPr>
          <w:rFonts w:ascii="Verdana" w:hAnsi="Verdana" w:cs="Times New Roman"/>
        </w:rPr>
      </w:pPr>
      <w:r w:rsidRPr="00CD50B9">
        <w:rPr>
          <w:rFonts w:ascii="Verdana" w:hAnsi="Verdana" w:cs="Times New Roman"/>
          <w:b/>
          <w:bCs/>
          <w:sz w:val="20"/>
          <w:szCs w:val="20"/>
        </w:rPr>
        <w:t>New Horizons</w:t>
      </w:r>
    </w:p>
    <w:p w14:paraId="790F6742"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This paper shows how thoroughly integrated theory and practice can become in a teacher candidate's learning-to-teach life, when teacher education makes theory explicit and when teacher candidates have opportunities to actively experiment with, dialogue about, and reflect upon theory in action. As an inquiring learner, Melissa became her own expert. Her learning (and Bradley's too) was facilitated by a supportive environment based on trust, security, and interaction with and support from others. I can only imagine how far Melissa would have travelled "down the road to becoming a teacher" (see her reflection at the beginning of this article) had she had an opportunity to participate in a sustained and in depth university/classroom collaborative inquiry, beyond this single-course experiment (but for cautions, see </w:t>
      </w:r>
      <w:hyperlink r:id="rId8" w:history="1">
        <w:r w:rsidRPr="00CD50B9">
          <w:rPr>
            <w:rFonts w:ascii="Verdana" w:hAnsi="Verdana" w:cs="Times New Roman"/>
            <w:color w:val="0000FF"/>
            <w:sz w:val="20"/>
            <w:szCs w:val="20"/>
            <w:u w:val="single"/>
          </w:rPr>
          <w:t>Seifert</w:t>
        </w:r>
      </w:hyperlink>
      <w:r w:rsidRPr="00CD50B9">
        <w:rPr>
          <w:rFonts w:ascii="Verdana" w:hAnsi="Verdana" w:cs="Times New Roman"/>
          <w:sz w:val="20"/>
          <w:szCs w:val="20"/>
        </w:rPr>
        <w:t>, this issue). </w:t>
      </w:r>
    </w:p>
    <w:p w14:paraId="5EF949EF"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To this end, following the lead of the Centre for Inquiry School in Columbia (South Carolina, USA; see Mills &amp; Donnelly, 2001) and the Centre for Inquiry School in Indianapolis (Indiana, USA; see Harste et al., 2004), in the fall of 2004, the Faculty of Education at the University of Manitoba will enter into an educational partnership with a local school division (Pembina Trails) and the provincial government (Manitoba Education, Citizenship and Youth) to establish a Centre for Inquiry School. Here, second year Early Years faculty and teacher candidates will collaborate on-site with Kindergarten to Grade 4 children, families, and teachers and school administrators to support and enhance one another's learning. In this reconceptualized model of teacher education, teacher candidates will theoretically have the opportunity to build consistent theory and practices from intentionally connected inquiry-based experiences. The future Melissas and Bradleys and their colleagues and peers deserve no less.</w:t>
      </w:r>
    </w:p>
    <w:p w14:paraId="1C963283" w14:textId="77777777" w:rsidR="00CD50B9" w:rsidRPr="00CD50B9" w:rsidRDefault="00CD50B9" w:rsidP="00CD50B9">
      <w:pPr>
        <w:spacing w:before="100" w:beforeAutospacing="1" w:after="100" w:afterAutospacing="1"/>
        <w:jc w:val="center"/>
        <w:rPr>
          <w:rFonts w:ascii="Verdana" w:hAnsi="Verdana" w:cs="Times New Roman"/>
        </w:rPr>
      </w:pPr>
      <w:r w:rsidRPr="00CD50B9">
        <w:rPr>
          <w:rFonts w:ascii="Verdana" w:hAnsi="Verdana" w:cs="Times New Roman"/>
          <w:b/>
          <w:bCs/>
          <w:sz w:val="20"/>
          <w:szCs w:val="20"/>
        </w:rPr>
        <w:t>References</w:t>
      </w:r>
    </w:p>
    <w:p w14:paraId="491C9984"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Britzman, D.P. (1991). </w:t>
      </w:r>
      <w:r w:rsidRPr="00CD50B9">
        <w:rPr>
          <w:rFonts w:ascii="Verdana" w:hAnsi="Verdana" w:cs="Times New Roman"/>
          <w:i/>
          <w:iCs/>
          <w:sz w:val="20"/>
          <w:szCs w:val="20"/>
        </w:rPr>
        <w:t>Practice makes practice: A critical study of learning to teach.</w:t>
      </w:r>
      <w:r w:rsidRPr="00CD50B9">
        <w:rPr>
          <w:rFonts w:ascii="Verdana" w:hAnsi="Verdana" w:cs="Times New Roman"/>
          <w:sz w:val="20"/>
          <w:szCs w:val="20"/>
        </w:rPr>
        <w:t> Albany, NY: State University of New York Press.</w:t>
      </w:r>
    </w:p>
    <w:p w14:paraId="693A3332"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Dewey, J. (1938/1963). </w:t>
      </w:r>
      <w:r w:rsidRPr="00CD50B9">
        <w:rPr>
          <w:rFonts w:ascii="Verdana" w:hAnsi="Verdana" w:cs="Times New Roman"/>
          <w:i/>
          <w:iCs/>
          <w:sz w:val="20"/>
          <w:szCs w:val="20"/>
        </w:rPr>
        <w:t>Experience and education. </w:t>
      </w:r>
      <w:r w:rsidRPr="00CD50B9">
        <w:rPr>
          <w:rFonts w:ascii="Verdana" w:hAnsi="Verdana" w:cs="Times New Roman"/>
          <w:sz w:val="20"/>
          <w:szCs w:val="20"/>
        </w:rPr>
        <w:t>New York: Macmillan.</w:t>
      </w:r>
    </w:p>
    <w:p w14:paraId="78CAE19F"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Duckworth, E. (Ed.). (2001). </w:t>
      </w:r>
      <w:r w:rsidRPr="00CD50B9">
        <w:rPr>
          <w:rFonts w:ascii="Verdana" w:hAnsi="Verdana" w:cs="Times New Roman"/>
          <w:i/>
          <w:iCs/>
          <w:sz w:val="20"/>
          <w:szCs w:val="20"/>
        </w:rPr>
        <w:t>"Tell me more": Listening to learners explain</w:t>
      </w:r>
      <w:r w:rsidRPr="00CD50B9">
        <w:rPr>
          <w:rFonts w:ascii="Verdana" w:hAnsi="Verdana" w:cs="Times New Roman"/>
          <w:sz w:val="20"/>
          <w:szCs w:val="20"/>
        </w:rPr>
        <w:t>. New York: Teachers College Press.</w:t>
      </w:r>
    </w:p>
    <w:p w14:paraId="1A3E9683"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Dyson Haas. A. (1997). </w:t>
      </w:r>
      <w:r w:rsidRPr="00CD50B9">
        <w:rPr>
          <w:rFonts w:ascii="Verdana" w:hAnsi="Verdana" w:cs="Times New Roman"/>
          <w:i/>
          <w:iCs/>
          <w:sz w:val="20"/>
          <w:szCs w:val="20"/>
        </w:rPr>
        <w:t>Writing superheroes: Contemporary childhood, popular culture, and classroom literacy.</w:t>
      </w:r>
      <w:r w:rsidRPr="00CD50B9">
        <w:rPr>
          <w:rFonts w:ascii="Verdana" w:hAnsi="Verdana" w:cs="Times New Roman"/>
          <w:sz w:val="20"/>
          <w:szCs w:val="20"/>
        </w:rPr>
        <w:t> New York: Teachers College Press.</w:t>
      </w:r>
    </w:p>
    <w:p w14:paraId="6E20DBE8"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Freire, P. (1998). </w:t>
      </w:r>
      <w:r w:rsidRPr="00CD50B9">
        <w:rPr>
          <w:rFonts w:ascii="Verdana" w:hAnsi="Verdana" w:cs="Times New Roman"/>
          <w:i/>
          <w:iCs/>
          <w:sz w:val="20"/>
          <w:szCs w:val="20"/>
        </w:rPr>
        <w:t>Pedagogy of freedom: Ethics, democracy, and civic courage</w:t>
      </w:r>
      <w:r w:rsidRPr="00CD50B9">
        <w:rPr>
          <w:rFonts w:ascii="Verdana" w:hAnsi="Verdana" w:cs="Times New Roman"/>
          <w:sz w:val="20"/>
          <w:szCs w:val="20"/>
        </w:rPr>
        <w:t>. Lanham, MD: Rowan &amp; Littlefield Publishers.</w:t>
      </w:r>
    </w:p>
    <w:p w14:paraId="7DA13595"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Gee, J. (1996). </w:t>
      </w:r>
      <w:r w:rsidRPr="00CD50B9">
        <w:rPr>
          <w:rFonts w:ascii="Verdana" w:hAnsi="Verdana" w:cs="Times New Roman"/>
          <w:i/>
          <w:iCs/>
          <w:sz w:val="20"/>
          <w:szCs w:val="20"/>
        </w:rPr>
        <w:t>Social linguistics and literacies: Ideology in discourses </w:t>
      </w:r>
      <w:r w:rsidRPr="00CD50B9">
        <w:rPr>
          <w:rFonts w:ascii="Verdana" w:hAnsi="Verdana" w:cs="Times New Roman"/>
          <w:sz w:val="20"/>
          <w:szCs w:val="20"/>
        </w:rPr>
        <w:t>(2</w:t>
      </w:r>
      <w:r w:rsidRPr="00CD50B9">
        <w:rPr>
          <w:rFonts w:ascii="Verdana" w:hAnsi="Verdana" w:cs="Times New Roman"/>
          <w:sz w:val="20"/>
          <w:szCs w:val="20"/>
          <w:vertAlign w:val="superscript"/>
        </w:rPr>
        <w:t>nd</w:t>
      </w:r>
      <w:r w:rsidRPr="00CD50B9">
        <w:rPr>
          <w:rFonts w:ascii="Verdana" w:hAnsi="Verdana" w:cs="Times New Roman"/>
          <w:sz w:val="20"/>
          <w:szCs w:val="20"/>
        </w:rPr>
        <w:t> ed.). London: Taylor &amp; Francis.</w:t>
      </w:r>
    </w:p>
    <w:p w14:paraId="2C91A152"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Goodman, K. (1996). </w:t>
      </w:r>
      <w:r w:rsidRPr="00CD50B9">
        <w:rPr>
          <w:rFonts w:ascii="Verdana" w:hAnsi="Verdana" w:cs="Times New Roman"/>
          <w:i/>
          <w:iCs/>
          <w:sz w:val="20"/>
          <w:szCs w:val="20"/>
        </w:rPr>
        <w:t>On reading.</w:t>
      </w:r>
      <w:r w:rsidRPr="00CD50B9">
        <w:rPr>
          <w:rFonts w:ascii="Verdana" w:hAnsi="Verdana" w:cs="Times New Roman"/>
          <w:sz w:val="20"/>
          <w:szCs w:val="20"/>
        </w:rPr>
        <w:t> Richmond Hill, ON: Scholastic Canada.</w:t>
      </w:r>
    </w:p>
    <w:p w14:paraId="69E69AEE"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Goodman, Y. (1989). Evaluation of students: Evaluation of teachers. In S. Wilde (Ed.), </w:t>
      </w:r>
      <w:r w:rsidRPr="00CD50B9">
        <w:rPr>
          <w:rFonts w:ascii="Verdana" w:hAnsi="Verdana" w:cs="Times New Roman"/>
          <w:i/>
          <w:iCs/>
          <w:sz w:val="20"/>
          <w:szCs w:val="20"/>
        </w:rPr>
        <w:t>Notes from a kidwatcher: Selected writings of Yetta M. Goodman </w:t>
      </w:r>
      <w:r w:rsidRPr="00CD50B9">
        <w:rPr>
          <w:rFonts w:ascii="Verdana" w:hAnsi="Verdana" w:cs="Times New Roman"/>
          <w:sz w:val="20"/>
          <w:szCs w:val="20"/>
        </w:rPr>
        <w:t>(pp. 228-241). Portsmouth, NH: Heinemann. </w:t>
      </w:r>
    </w:p>
    <w:p w14:paraId="4ED29BFD"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Goodman, Y. (1985). Kidwatching: Observing children in the classroom. In S. Wilde (Ed.), </w:t>
      </w:r>
      <w:r w:rsidRPr="00CD50B9">
        <w:rPr>
          <w:rFonts w:ascii="Verdana" w:hAnsi="Verdana" w:cs="Times New Roman"/>
          <w:i/>
          <w:iCs/>
          <w:sz w:val="20"/>
          <w:szCs w:val="20"/>
        </w:rPr>
        <w:t>Notes from a kidwatcher: Selected writings of Yetta M. Goodman </w:t>
      </w:r>
      <w:r w:rsidRPr="00CD50B9">
        <w:rPr>
          <w:rFonts w:ascii="Verdana" w:hAnsi="Verdana" w:cs="Times New Roman"/>
          <w:sz w:val="20"/>
          <w:szCs w:val="20"/>
        </w:rPr>
        <w:t>(pp. 219-227). Portsmouth, NH: Heinemann.</w:t>
      </w:r>
    </w:p>
    <w:p w14:paraId="00B71899"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Greene, M. (1988). </w:t>
      </w:r>
      <w:r w:rsidRPr="00CD50B9">
        <w:rPr>
          <w:rFonts w:ascii="Verdana" w:hAnsi="Verdana" w:cs="Times New Roman"/>
          <w:i/>
          <w:iCs/>
          <w:sz w:val="20"/>
          <w:szCs w:val="20"/>
        </w:rPr>
        <w:t>The dialectic of freedom</w:t>
      </w:r>
      <w:r w:rsidRPr="00CD50B9">
        <w:rPr>
          <w:rFonts w:ascii="Verdana" w:hAnsi="Verdana" w:cs="Times New Roman"/>
          <w:sz w:val="20"/>
          <w:szCs w:val="20"/>
        </w:rPr>
        <w:t>. New York: Teachers College Press.</w:t>
      </w:r>
    </w:p>
    <w:p w14:paraId="0B375757"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Halliday, M.A.K. (1982). Three aspects of children’s language development: Learning language, learning through language, learning about language. In Y. Goodman, M. H. Haussler, and D. Strickland (Eds.</w:t>
      </w:r>
      <w:r w:rsidRPr="00CD50B9">
        <w:rPr>
          <w:rFonts w:ascii="Verdana" w:hAnsi="Verdana" w:cs="Times New Roman"/>
          <w:i/>
          <w:iCs/>
          <w:sz w:val="20"/>
          <w:szCs w:val="20"/>
        </w:rPr>
        <w:t>), Oral and written language development research </w:t>
      </w:r>
      <w:r w:rsidRPr="00CD50B9">
        <w:rPr>
          <w:rFonts w:ascii="Verdana" w:hAnsi="Verdana" w:cs="Times New Roman"/>
          <w:sz w:val="20"/>
          <w:szCs w:val="20"/>
        </w:rPr>
        <w:t>(7-19). Urbana, IL: National Council of Teachers of English.</w:t>
      </w:r>
    </w:p>
    <w:p w14:paraId="651E4918"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Harste, J., Leland, C., Schmidt, K., Vasquez, V., &amp; Oceipka, A. (January/February, 2004). Practice makes practice, or does it? The relationship between theory and practice in teacher education. </w:t>
      </w:r>
      <w:r w:rsidRPr="00CD50B9">
        <w:rPr>
          <w:rFonts w:ascii="Verdana" w:hAnsi="Verdana" w:cs="Times New Roman"/>
          <w:i/>
          <w:iCs/>
          <w:sz w:val="20"/>
          <w:szCs w:val="20"/>
        </w:rPr>
        <w:t>Reading Online, </w:t>
      </w:r>
      <w:r w:rsidRPr="00CD50B9">
        <w:rPr>
          <w:rFonts w:ascii="Verdana" w:hAnsi="Verdana" w:cs="Times New Roman"/>
          <w:sz w:val="20"/>
          <w:szCs w:val="20"/>
        </w:rPr>
        <w:t>7(4). Available: </w:t>
      </w:r>
      <w:r w:rsidRPr="00CD50B9">
        <w:rPr>
          <w:rFonts w:ascii="Verdana" w:hAnsi="Verdana" w:cs="Times New Roman"/>
          <w:i/>
          <w:iCs/>
          <w:sz w:val="20"/>
          <w:szCs w:val="20"/>
        </w:rPr>
        <w:t>&lt;</w:t>
      </w:r>
      <w:hyperlink r:id="rId9" w:history="1">
        <w:r w:rsidRPr="00CD50B9">
          <w:rPr>
            <w:rFonts w:ascii="Verdana" w:hAnsi="Verdana" w:cs="Times New Roman"/>
            <w:color w:val="0000FF"/>
            <w:sz w:val="20"/>
            <w:szCs w:val="20"/>
            <w:u w:val="single"/>
          </w:rPr>
          <w:t>www.readingonline.org</w:t>
        </w:r>
      </w:hyperlink>
      <w:r w:rsidRPr="00CD50B9">
        <w:rPr>
          <w:rFonts w:ascii="Verdana" w:hAnsi="Verdana" w:cs="Times New Roman"/>
          <w:i/>
          <w:iCs/>
          <w:sz w:val="20"/>
          <w:szCs w:val="20"/>
        </w:rPr>
        <w:t>&gt;.</w:t>
      </w:r>
    </w:p>
    <w:p w14:paraId="55E714AB"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Lindfors Wells, J. (1999). </w:t>
      </w:r>
      <w:r w:rsidRPr="00CD50B9">
        <w:rPr>
          <w:rFonts w:ascii="Verdana" w:hAnsi="Verdana" w:cs="Times New Roman"/>
          <w:i/>
          <w:iCs/>
          <w:sz w:val="20"/>
          <w:szCs w:val="20"/>
        </w:rPr>
        <w:t>Children's inquiry: Using language to make sense of the world</w:t>
      </w:r>
      <w:r w:rsidRPr="00CD50B9">
        <w:rPr>
          <w:rFonts w:ascii="Verdana" w:hAnsi="Verdana" w:cs="Times New Roman"/>
          <w:sz w:val="20"/>
          <w:szCs w:val="20"/>
        </w:rPr>
        <w:t>. New York: Teachers College Press.</w:t>
      </w:r>
    </w:p>
    <w:p w14:paraId="1D10B858"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Luke, A., &amp; Freebody, P. (1997). Shaping the social practices of reading. In S. Muspratt, A. Luke, and P. Freebody (Eds.), </w:t>
      </w:r>
      <w:r w:rsidRPr="00CD50B9">
        <w:rPr>
          <w:rFonts w:ascii="Verdana" w:hAnsi="Verdana" w:cs="Times New Roman"/>
          <w:i/>
          <w:iCs/>
          <w:sz w:val="20"/>
          <w:szCs w:val="20"/>
        </w:rPr>
        <w:t>Constructing critical literacies </w:t>
      </w:r>
      <w:r w:rsidRPr="00CD50B9">
        <w:rPr>
          <w:rFonts w:ascii="Verdana" w:hAnsi="Verdana" w:cs="Times New Roman"/>
          <w:sz w:val="20"/>
          <w:szCs w:val="20"/>
        </w:rPr>
        <w:t>(185-225)</w:t>
      </w:r>
      <w:r w:rsidRPr="00CD50B9">
        <w:rPr>
          <w:rFonts w:ascii="Verdana" w:hAnsi="Verdana" w:cs="Times New Roman"/>
          <w:i/>
          <w:iCs/>
          <w:sz w:val="20"/>
          <w:szCs w:val="20"/>
        </w:rPr>
        <w:t>.</w:t>
      </w:r>
      <w:r w:rsidRPr="00CD50B9">
        <w:rPr>
          <w:rFonts w:ascii="Verdana" w:hAnsi="Verdana" w:cs="Times New Roman"/>
          <w:sz w:val="20"/>
          <w:szCs w:val="20"/>
        </w:rPr>
        <w:t> Cresskill, NJ: Hampton Press.</w:t>
      </w:r>
    </w:p>
    <w:p w14:paraId="257CC1BE"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Manitoba Ministry of Education and Training. (1996</w:t>
      </w:r>
      <w:r w:rsidRPr="00CD50B9">
        <w:rPr>
          <w:rFonts w:ascii="Verdana" w:hAnsi="Verdana" w:cs="Times New Roman"/>
          <w:i/>
          <w:iCs/>
          <w:sz w:val="20"/>
          <w:szCs w:val="20"/>
        </w:rPr>
        <w:t>). Kindergarten to Grade 4 English language arts: Manitoba curriculum framework of outcomes and Grade 3 standards.</w:t>
      </w:r>
      <w:r w:rsidRPr="00CD50B9">
        <w:rPr>
          <w:rFonts w:ascii="Verdana" w:hAnsi="Verdana" w:cs="Times New Roman"/>
          <w:sz w:val="20"/>
          <w:szCs w:val="20"/>
        </w:rPr>
        <w:t> Winnipeg, MB: Manitoba Education and Training.</w:t>
      </w:r>
    </w:p>
    <w:p w14:paraId="3E214B39"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McGregor, C. (no date). </w:t>
      </w:r>
      <w:r w:rsidRPr="00CD50B9">
        <w:rPr>
          <w:rFonts w:ascii="Verdana" w:hAnsi="Verdana" w:cs="Times New Roman"/>
          <w:i/>
          <w:iCs/>
          <w:sz w:val="20"/>
          <w:szCs w:val="20"/>
        </w:rPr>
        <w:t>The Wolseley Elm</w:t>
      </w:r>
      <w:r w:rsidRPr="00CD50B9">
        <w:rPr>
          <w:rFonts w:ascii="Verdana" w:hAnsi="Verdana" w:cs="Times New Roman"/>
          <w:sz w:val="20"/>
          <w:szCs w:val="20"/>
        </w:rPr>
        <w:t>. Winnipeg, MB: Contact Cheri Frazer at &lt;</w:t>
      </w:r>
      <w:hyperlink r:id="rId10" w:history="1">
        <w:r w:rsidRPr="00CD50B9">
          <w:rPr>
            <w:rFonts w:ascii="Verdana" w:hAnsi="Verdana" w:cs="Times New Roman"/>
            <w:color w:val="0000FF"/>
            <w:sz w:val="20"/>
            <w:szCs w:val="20"/>
            <w:u w:val="single"/>
          </w:rPr>
          <w:t>cfrazer@escape.ca</w:t>
        </w:r>
      </w:hyperlink>
      <w:r w:rsidRPr="00CD50B9">
        <w:rPr>
          <w:rFonts w:ascii="Verdana" w:hAnsi="Verdana" w:cs="Times New Roman"/>
          <w:sz w:val="20"/>
          <w:szCs w:val="20"/>
        </w:rPr>
        <w:t>&gt;.</w:t>
      </w:r>
    </w:p>
    <w:p w14:paraId="1E4FA233"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Mills, H., O'Keefe, T., &amp; Jennings, L.B. (2004). </w:t>
      </w:r>
      <w:r w:rsidRPr="00CD50B9">
        <w:rPr>
          <w:rFonts w:ascii="Verdana" w:hAnsi="Verdana" w:cs="Times New Roman"/>
          <w:i/>
          <w:iCs/>
          <w:sz w:val="20"/>
          <w:szCs w:val="20"/>
        </w:rPr>
        <w:t>Looking closely &amp; listening carefully: Literacy learning through inquiry</w:t>
      </w:r>
      <w:r w:rsidRPr="00CD50B9">
        <w:rPr>
          <w:rFonts w:ascii="Verdana" w:hAnsi="Verdana" w:cs="Times New Roman"/>
          <w:sz w:val="20"/>
          <w:szCs w:val="20"/>
        </w:rPr>
        <w:t>. Urbana, IL: National Council of Teachers of English.</w:t>
      </w:r>
    </w:p>
    <w:p w14:paraId="700E45DB"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Mills, H., &amp; Donnelly, A. (2001). (Eds.). </w:t>
      </w:r>
      <w:r w:rsidRPr="00CD50B9">
        <w:rPr>
          <w:rFonts w:ascii="Verdana" w:hAnsi="Verdana" w:cs="Times New Roman"/>
          <w:i/>
          <w:iCs/>
          <w:sz w:val="20"/>
          <w:szCs w:val="20"/>
        </w:rPr>
        <w:t>From the ground up: Creating a culture of inquiry</w:t>
      </w:r>
      <w:r w:rsidRPr="00CD50B9">
        <w:rPr>
          <w:rFonts w:ascii="Verdana" w:hAnsi="Verdana" w:cs="Times New Roman"/>
          <w:sz w:val="20"/>
          <w:szCs w:val="20"/>
        </w:rPr>
        <w:t>. Portsmouth, NH: Heinemann.</w:t>
      </w:r>
    </w:p>
    <w:p w14:paraId="6E9ADFC3"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Noddings, N. (1992). </w:t>
      </w:r>
      <w:r w:rsidRPr="00CD50B9">
        <w:rPr>
          <w:rFonts w:ascii="Verdana" w:hAnsi="Verdana" w:cs="Times New Roman"/>
          <w:i/>
          <w:iCs/>
          <w:sz w:val="20"/>
          <w:szCs w:val="20"/>
        </w:rPr>
        <w:t>The challenge to care in schools: An alternative approach to education</w:t>
      </w:r>
      <w:r w:rsidRPr="00CD50B9">
        <w:rPr>
          <w:rFonts w:ascii="Verdana" w:hAnsi="Verdana" w:cs="Times New Roman"/>
          <w:sz w:val="20"/>
          <w:szCs w:val="20"/>
        </w:rPr>
        <w:t>. New York: Teachers College Press.</w:t>
      </w:r>
    </w:p>
    <w:p w14:paraId="468729C2"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Schön, D. (1983). </w:t>
      </w:r>
      <w:r w:rsidRPr="00CD50B9">
        <w:rPr>
          <w:rFonts w:ascii="Verdana" w:hAnsi="Verdana" w:cs="Times New Roman"/>
          <w:i/>
          <w:iCs/>
          <w:sz w:val="20"/>
          <w:szCs w:val="20"/>
        </w:rPr>
        <w:t>The reflective practioner: How professionals think in action</w:t>
      </w:r>
      <w:r w:rsidRPr="00CD50B9">
        <w:rPr>
          <w:rFonts w:ascii="Verdana" w:hAnsi="Verdana" w:cs="Times New Roman"/>
          <w:sz w:val="20"/>
          <w:szCs w:val="20"/>
        </w:rPr>
        <w:t>. New York: Basic Books Inc.</w:t>
      </w:r>
    </w:p>
    <w:p w14:paraId="4A59E34C"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Serebrin, W., Long, S., &amp; Egawa, E. (2001). </w:t>
      </w:r>
      <w:r w:rsidRPr="00CD50B9">
        <w:rPr>
          <w:rFonts w:ascii="Verdana" w:hAnsi="Verdana" w:cs="Times New Roman"/>
          <w:i/>
          <w:iCs/>
          <w:sz w:val="20"/>
          <w:szCs w:val="20"/>
        </w:rPr>
        <w:t>An inquiry into early literacy. </w:t>
      </w:r>
      <w:r w:rsidRPr="00CD50B9">
        <w:rPr>
          <w:rFonts w:ascii="Verdana" w:hAnsi="Verdana" w:cs="Times New Roman"/>
          <w:sz w:val="20"/>
          <w:szCs w:val="20"/>
        </w:rPr>
        <w:t>Urbana, IL: National Council of Teachers of English Reading Initiative.</w:t>
      </w:r>
    </w:p>
    <w:p w14:paraId="7571C30E" w14:textId="77777777" w:rsidR="00CD50B9" w:rsidRPr="00CD50B9" w:rsidRDefault="00CD50B9" w:rsidP="00CD50B9">
      <w:pPr>
        <w:spacing w:before="100" w:beforeAutospacing="1" w:after="100" w:afterAutospacing="1"/>
        <w:rPr>
          <w:rFonts w:ascii="Verdana" w:hAnsi="Verdana" w:cs="Times New Roman"/>
        </w:rPr>
      </w:pPr>
      <w:r w:rsidRPr="00CD50B9">
        <w:rPr>
          <w:rFonts w:ascii="Verdana" w:hAnsi="Verdana" w:cs="Times New Roman"/>
          <w:sz w:val="20"/>
          <w:szCs w:val="20"/>
        </w:rPr>
        <w:t>Serebrin, W. (Ed.). (January, 2003). Inquiries into early literacy. </w:t>
      </w:r>
      <w:r w:rsidRPr="00CD50B9">
        <w:rPr>
          <w:rFonts w:ascii="Verdana" w:hAnsi="Verdana" w:cs="Times New Roman"/>
          <w:i/>
          <w:iCs/>
          <w:sz w:val="20"/>
          <w:szCs w:val="20"/>
        </w:rPr>
        <w:t>School Talk </w:t>
      </w:r>
      <w:r w:rsidRPr="00CD50B9">
        <w:rPr>
          <w:rFonts w:ascii="Verdana" w:hAnsi="Verdana" w:cs="Times New Roman"/>
          <w:sz w:val="20"/>
          <w:szCs w:val="20"/>
        </w:rPr>
        <w:t>8(2), 1-6.</w:t>
      </w:r>
    </w:p>
    <w:p w14:paraId="2854F83B" w14:textId="77777777" w:rsidR="00CD50B9" w:rsidRPr="00CD50B9" w:rsidRDefault="00CD50B9" w:rsidP="00CD50B9">
      <w:pPr>
        <w:spacing w:before="100" w:beforeAutospacing="1" w:after="100" w:afterAutospacing="1"/>
        <w:rPr>
          <w:rFonts w:ascii="Times New Roman" w:hAnsi="Times New Roman" w:cs="Times New Roman"/>
        </w:rPr>
      </w:pPr>
      <w:r w:rsidRPr="00CD50B9">
        <w:rPr>
          <w:rFonts w:ascii="Verdana" w:hAnsi="Verdana" w:cs="Times New Roman"/>
          <w:sz w:val="20"/>
          <w:szCs w:val="20"/>
        </w:rPr>
        <w:t>Short, K., Harste, J., with Burke, C. (1996). </w:t>
      </w:r>
      <w:r w:rsidRPr="00CD50B9">
        <w:rPr>
          <w:rFonts w:ascii="Verdana" w:hAnsi="Verdana" w:cs="Times New Roman"/>
          <w:i/>
          <w:iCs/>
          <w:sz w:val="20"/>
          <w:szCs w:val="20"/>
        </w:rPr>
        <w:t>Creating classrooms for authors and Inquirers. </w:t>
      </w:r>
      <w:r w:rsidRPr="00CD50B9">
        <w:rPr>
          <w:rFonts w:ascii="Verdana" w:hAnsi="Verdana" w:cs="Times New Roman"/>
          <w:sz w:val="20"/>
          <w:szCs w:val="20"/>
        </w:rPr>
        <w:t>Portsmouth, NH: Heinemann.</w:t>
      </w:r>
    </w:p>
    <w:p w14:paraId="5EC3CAEB" w14:textId="77777777" w:rsidR="00CD50B9" w:rsidRPr="00CD50B9" w:rsidRDefault="00CD50B9" w:rsidP="00CD50B9">
      <w:pPr>
        <w:spacing w:before="100" w:beforeAutospacing="1" w:after="100" w:afterAutospacing="1"/>
        <w:rPr>
          <w:rFonts w:ascii="Times New Roman" w:hAnsi="Times New Roman" w:cs="Times New Roman"/>
        </w:rPr>
      </w:pPr>
      <w:r w:rsidRPr="00CD50B9">
        <w:rPr>
          <w:rFonts w:ascii="Verdana" w:hAnsi="Verdana" w:cs="Times New Roman"/>
          <w:sz w:val="20"/>
          <w:szCs w:val="20"/>
        </w:rPr>
        <w:t>Short, K. (1999). The search for "balance" in a literature-rich curriculum. In </w:t>
      </w:r>
      <w:r w:rsidRPr="00CD50B9">
        <w:rPr>
          <w:rFonts w:ascii="Verdana" w:hAnsi="Verdana" w:cs="Times New Roman"/>
          <w:i/>
          <w:iCs/>
          <w:sz w:val="20"/>
          <w:szCs w:val="20"/>
        </w:rPr>
        <w:t>Theory into Practice, </w:t>
      </w:r>
      <w:r w:rsidRPr="00CD50B9">
        <w:rPr>
          <w:rFonts w:ascii="Verdana" w:hAnsi="Verdana" w:cs="Times New Roman"/>
          <w:sz w:val="20"/>
          <w:szCs w:val="20"/>
        </w:rPr>
        <w:t>38(3), 130-137.</w:t>
      </w:r>
    </w:p>
    <w:p w14:paraId="184C9142" w14:textId="77777777" w:rsidR="00CD50B9" w:rsidRPr="00CD50B9" w:rsidRDefault="00CD50B9" w:rsidP="00CD50B9">
      <w:pPr>
        <w:spacing w:before="100" w:beforeAutospacing="1" w:after="100" w:afterAutospacing="1"/>
        <w:rPr>
          <w:rFonts w:ascii="Times New Roman" w:hAnsi="Times New Roman" w:cs="Times New Roman"/>
        </w:rPr>
      </w:pPr>
      <w:r w:rsidRPr="00CD50B9">
        <w:rPr>
          <w:rFonts w:ascii="Verdana" w:hAnsi="Verdana" w:cs="Times New Roman"/>
          <w:sz w:val="20"/>
          <w:szCs w:val="20"/>
        </w:rPr>
        <w:t>Steig, W. (1969). </w:t>
      </w:r>
      <w:r w:rsidRPr="00CD50B9">
        <w:rPr>
          <w:rFonts w:ascii="Verdana" w:hAnsi="Verdana" w:cs="Times New Roman"/>
          <w:i/>
          <w:iCs/>
          <w:sz w:val="20"/>
          <w:szCs w:val="20"/>
        </w:rPr>
        <w:t>Sylvester and the magic pebble. </w:t>
      </w:r>
      <w:r w:rsidRPr="00CD50B9">
        <w:rPr>
          <w:rFonts w:ascii="Verdana" w:hAnsi="Verdana" w:cs="Times New Roman"/>
          <w:sz w:val="20"/>
          <w:szCs w:val="20"/>
        </w:rPr>
        <w:t>New York: Windmill.</w:t>
      </w:r>
    </w:p>
    <w:p w14:paraId="4C6D5C6E" w14:textId="77777777" w:rsidR="00CD50B9" w:rsidRPr="00CD50B9" w:rsidRDefault="00CD50B9" w:rsidP="00CD50B9">
      <w:pPr>
        <w:spacing w:before="100" w:beforeAutospacing="1" w:after="100" w:afterAutospacing="1"/>
        <w:rPr>
          <w:rFonts w:ascii="Times New Roman" w:hAnsi="Times New Roman" w:cs="Times New Roman"/>
        </w:rPr>
      </w:pPr>
      <w:r w:rsidRPr="00CD50B9">
        <w:rPr>
          <w:rFonts w:ascii="Verdana" w:hAnsi="Verdana" w:cs="Times New Roman"/>
          <w:sz w:val="20"/>
          <w:szCs w:val="20"/>
        </w:rPr>
        <w:t>Vasquez, V. &amp; Egawa, K. (Eds.). (October, 2002). Everyday texts/everyday literacies. </w:t>
      </w:r>
      <w:r w:rsidRPr="00CD50B9">
        <w:rPr>
          <w:rFonts w:ascii="Verdana" w:hAnsi="Verdana" w:cs="Times New Roman"/>
          <w:i/>
          <w:iCs/>
          <w:sz w:val="20"/>
          <w:szCs w:val="20"/>
        </w:rPr>
        <w:t>School Talk</w:t>
      </w:r>
      <w:r w:rsidRPr="00CD50B9">
        <w:rPr>
          <w:rFonts w:ascii="Verdana" w:hAnsi="Verdana" w:cs="Times New Roman"/>
          <w:sz w:val="20"/>
          <w:szCs w:val="20"/>
        </w:rPr>
        <w:t>, 8(1), 1-6. Urbana, IL: National Council of Teachers of English.</w:t>
      </w:r>
    </w:p>
    <w:p w14:paraId="1A7FBE6E" w14:textId="77777777" w:rsidR="00CD50B9" w:rsidRPr="00CD50B9" w:rsidRDefault="00CD50B9" w:rsidP="00CD50B9">
      <w:pPr>
        <w:rPr>
          <w:rFonts w:ascii="Times New Roman" w:eastAsia="Times New Roman" w:hAnsi="Times New Roman" w:cs="Times New Roman"/>
        </w:rPr>
      </w:pPr>
    </w:p>
    <w:p w14:paraId="31B94CF7" w14:textId="77777777" w:rsidR="00003D60" w:rsidRDefault="00CD50B9">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B9"/>
    <w:rsid w:val="000130AB"/>
    <w:rsid w:val="005C59CF"/>
    <w:rsid w:val="00C65BEF"/>
    <w:rsid w:val="00CD50B9"/>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C1396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0B9"/>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CD50B9"/>
    <w:rPr>
      <w:i/>
      <w:iCs/>
    </w:rPr>
  </w:style>
  <w:style w:type="character" w:customStyle="1" w:styleId="apple-converted-space">
    <w:name w:val="apple-converted-space"/>
    <w:basedOn w:val="DefaultParagraphFont"/>
    <w:rsid w:val="00CD50B9"/>
  </w:style>
  <w:style w:type="character" w:styleId="Hyperlink">
    <w:name w:val="Hyperlink"/>
    <w:basedOn w:val="DefaultParagraphFont"/>
    <w:uiPriority w:val="99"/>
    <w:semiHidden/>
    <w:unhideWhenUsed/>
    <w:rsid w:val="00CD50B9"/>
    <w:rPr>
      <w:color w:val="0000FF"/>
      <w:u w:val="single"/>
    </w:rPr>
  </w:style>
  <w:style w:type="character" w:styleId="Strong">
    <w:name w:val="Strong"/>
    <w:basedOn w:val="DefaultParagraphFont"/>
    <w:uiPriority w:val="22"/>
    <w:qFormat/>
    <w:rsid w:val="00CD5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411158">
      <w:bodyDiv w:val="1"/>
      <w:marLeft w:val="0"/>
      <w:marRight w:val="0"/>
      <w:marTop w:val="0"/>
      <w:marBottom w:val="0"/>
      <w:divBdr>
        <w:top w:val="none" w:sz="0" w:space="0" w:color="auto"/>
        <w:left w:val="none" w:sz="0" w:space="0" w:color="auto"/>
        <w:bottom w:val="none" w:sz="0" w:space="0" w:color="auto"/>
        <w:right w:val="none" w:sz="0" w:space="0" w:color="auto"/>
      </w:divBdr>
      <w:divsChild>
        <w:div w:id="626156201">
          <w:blockQuote w:val="1"/>
          <w:marLeft w:val="720"/>
          <w:marRight w:val="720"/>
          <w:marTop w:val="100"/>
          <w:marBottom w:val="100"/>
          <w:divBdr>
            <w:top w:val="none" w:sz="0" w:space="0" w:color="auto"/>
            <w:left w:val="none" w:sz="0" w:space="0" w:color="auto"/>
            <w:bottom w:val="none" w:sz="0" w:space="0" w:color="auto"/>
            <w:right w:val="none" w:sz="0" w:space="0" w:color="auto"/>
          </w:divBdr>
        </w:div>
        <w:div w:id="584001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147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67688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60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7051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32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87373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234557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292653">
          <w:blockQuote w:val="1"/>
          <w:marLeft w:val="720"/>
          <w:marRight w:val="720"/>
          <w:marTop w:val="100"/>
          <w:marBottom w:val="100"/>
          <w:divBdr>
            <w:top w:val="none" w:sz="0" w:space="0" w:color="auto"/>
            <w:left w:val="none" w:sz="0" w:space="0" w:color="auto"/>
            <w:bottom w:val="none" w:sz="0" w:space="0" w:color="auto"/>
            <w:right w:val="none" w:sz="0" w:space="0" w:color="auto"/>
          </w:divBdr>
        </w:div>
        <w:div w:id="827938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serebrn@ms.umanitoba.ca" TargetMode="External"/><Relationship Id="rId5" Type="http://schemas.openxmlformats.org/officeDocument/2006/relationships/hyperlink" Target="http://www.umanitoba.ca/publications/cjeap/articles/noma/identity.seifert.html" TargetMode="External"/><Relationship Id="rId6" Type="http://schemas.openxmlformats.org/officeDocument/2006/relationships/hyperlink" Target="http://www.umanitoba.ca/publications/cjeap/articles/noma/quality.youens.bailey.html.htm" TargetMode="External"/><Relationship Id="rId7" Type="http://schemas.openxmlformats.org/officeDocument/2006/relationships/hyperlink" Target="http://www.umanitoba.ca/publications/cjeap/articles/noma/pairs.sorensen.html" TargetMode="External"/><Relationship Id="rId8" Type="http://schemas.openxmlformats.org/officeDocument/2006/relationships/hyperlink" Target="http://www.umanitoba.ca/articles/noma/identity.seifert.html" TargetMode="External"/><Relationship Id="rId9" Type="http://schemas.openxmlformats.org/officeDocument/2006/relationships/hyperlink" Target="http://www.umanitoba.ca/publications/cjeap/articles/noma/www.readingonline.org" TargetMode="External"/><Relationship Id="rId10" Type="http://schemas.openxmlformats.org/officeDocument/2006/relationships/hyperlink" Target="mailto:cfrazer@escap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6335</Words>
  <Characters>36113</Characters>
  <Application>Microsoft Macintosh Word</Application>
  <DocSecurity>0</DocSecurity>
  <Lines>300</Lines>
  <Paragraphs>84</Paragraphs>
  <ScaleCrop>false</ScaleCrop>
  <LinksUpToDate>false</LinksUpToDate>
  <CharactersWithSpaces>42364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2017-04-14T16:47:00Z</dcterms:created>
  <dcterms:modified xsi:type="dcterms:W3CDTF">2017-04-14T16:48:00Z</dcterms:modified>
</cp:coreProperties>
</file>