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54828" w14:textId="77777777" w:rsidR="00AA1EE5" w:rsidRPr="00AA1EE5" w:rsidRDefault="00AA1EE5" w:rsidP="00AA1EE5">
      <w:pPr>
        <w:spacing w:before="100" w:beforeAutospacing="1" w:after="100" w:afterAutospacing="1"/>
        <w:jc w:val="center"/>
        <w:rPr>
          <w:rFonts w:ascii="-webkit-standard" w:hAnsi="-webkit-standard" w:cs="Times New Roman"/>
          <w:color w:val="000000"/>
        </w:rPr>
      </w:pPr>
      <w:r w:rsidRPr="00AA1EE5">
        <w:rPr>
          <w:rFonts w:ascii="Verdana" w:hAnsi="Verdana" w:cs="Times New Roman"/>
          <w:i/>
          <w:iCs/>
          <w:color w:val="000000"/>
          <w:sz w:val="15"/>
          <w:szCs w:val="15"/>
        </w:rPr>
        <w:t>Canadian Journal of Educational Administration and Policy,</w:t>
      </w:r>
      <w:r w:rsidRPr="00AA1EE5">
        <w:rPr>
          <w:rFonts w:ascii="Verdana" w:hAnsi="Verdana" w:cs="Times New Roman"/>
          <w:color w:val="000000"/>
          <w:sz w:val="15"/>
          <w:szCs w:val="15"/>
        </w:rPr>
        <w:t> Issue #13, December 6, 1999. © by </w:t>
      </w:r>
      <w:r w:rsidRPr="00AA1EE5">
        <w:rPr>
          <w:rFonts w:ascii="Verdana" w:hAnsi="Verdana" w:cs="Times New Roman"/>
          <w:i/>
          <w:iCs/>
          <w:color w:val="000000"/>
          <w:sz w:val="15"/>
          <w:szCs w:val="15"/>
        </w:rPr>
        <w:t>CJEAP</w:t>
      </w:r>
      <w:r w:rsidRPr="00AA1EE5">
        <w:rPr>
          <w:rFonts w:ascii="Verdana" w:hAnsi="Verdana" w:cs="Times New Roman"/>
          <w:color w:val="000000"/>
          <w:sz w:val="15"/>
          <w:szCs w:val="15"/>
        </w:rPr>
        <w:t> and the author(s).</w:t>
      </w:r>
    </w:p>
    <w:p w14:paraId="579DF7AD" w14:textId="77777777" w:rsidR="00AA1EE5" w:rsidRPr="00AA1EE5" w:rsidRDefault="00AA1EE5" w:rsidP="00AA1EE5">
      <w:pPr>
        <w:spacing w:before="100" w:beforeAutospacing="1" w:after="100" w:afterAutospacing="1"/>
        <w:jc w:val="center"/>
        <w:rPr>
          <w:rFonts w:ascii="-webkit-standard" w:hAnsi="-webkit-standard" w:cs="Times New Roman"/>
          <w:color w:val="000000"/>
        </w:rPr>
      </w:pPr>
      <w:r w:rsidRPr="00AA1EE5">
        <w:rPr>
          <w:rFonts w:ascii="Verdana" w:hAnsi="Verdana" w:cs="Times New Roman"/>
          <w:b/>
          <w:bCs/>
          <w:color w:val="000000"/>
          <w:sz w:val="20"/>
          <w:szCs w:val="20"/>
        </w:rPr>
        <w:t>"Decentralized-Centralism" Governance in Education:</w:t>
      </w:r>
      <w:r w:rsidRPr="00AA1EE5">
        <w:rPr>
          <w:rFonts w:ascii="Verdana" w:hAnsi="Verdana" w:cs="Times New Roman"/>
          <w:b/>
          <w:bCs/>
          <w:color w:val="000000"/>
          <w:sz w:val="20"/>
          <w:szCs w:val="20"/>
        </w:rPr>
        <w:br/>
        <w:t>Evidence from Norway and British Columbia, Canada</w:t>
      </w:r>
      <w:r w:rsidRPr="00AA1EE5">
        <w:rPr>
          <w:rFonts w:ascii="Verdana" w:hAnsi="Verdana" w:cs="Times New Roman"/>
          <w:color w:val="000000"/>
          <w:sz w:val="20"/>
          <w:szCs w:val="20"/>
        </w:rPr>
        <w:t> </w:t>
      </w:r>
      <w:r w:rsidRPr="00AA1EE5">
        <w:rPr>
          <w:rFonts w:ascii="Verdana" w:hAnsi="Verdana" w:cs="Times New Roman"/>
          <w:color w:val="000000"/>
          <w:sz w:val="20"/>
          <w:szCs w:val="20"/>
        </w:rPr>
        <w:br/>
        <w:t>Gustav E. Karlsen, Sor-Trondelag College,</w:t>
      </w:r>
      <w:r w:rsidRPr="00AA1EE5">
        <w:rPr>
          <w:rFonts w:ascii="Verdana" w:hAnsi="Verdana" w:cs="Times New Roman"/>
          <w:color w:val="000000"/>
          <w:sz w:val="20"/>
          <w:szCs w:val="20"/>
        </w:rPr>
        <w:br/>
        <w:t>School of Teacher Education, Trondheim, Norway </w:t>
      </w:r>
    </w:p>
    <w:p w14:paraId="62339D2F" w14:textId="77777777" w:rsidR="00AA1EE5" w:rsidRPr="00AA1EE5" w:rsidRDefault="00AA1EE5" w:rsidP="00AA1EE5">
      <w:pPr>
        <w:spacing w:before="100" w:beforeAutospacing="1" w:after="100" w:afterAutospacing="1"/>
        <w:jc w:val="center"/>
        <w:rPr>
          <w:rFonts w:ascii="-webkit-standard" w:hAnsi="-webkit-standard" w:cs="Times New Roman"/>
          <w:color w:val="000000"/>
        </w:rPr>
      </w:pPr>
      <w:r w:rsidRPr="00AA1EE5">
        <w:rPr>
          <w:rFonts w:ascii="Verdana" w:hAnsi="Verdana" w:cs="Times New Roman"/>
          <w:b/>
          <w:bCs/>
          <w:color w:val="000000"/>
          <w:sz w:val="20"/>
          <w:szCs w:val="20"/>
        </w:rPr>
        <w:t>Introduction</w:t>
      </w:r>
    </w:p>
    <w:p w14:paraId="7121FF25"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This article focuses on decentralization as a governance strategy in education. The author, Gustav Karlsen, first presents theoretical aspects of the phenomenon of decentralization and contextualizes them within the education research literature. He then analyzes the dynamics of decentralization that normally take place when governing strategies designed to decentralize authority and power are implemented. In particular, he emphasizes four aspects of that dynamic interactive process. In support of his argument, he provides evidence gathered from Norway and, to some extent, from the province of British Columbia, Canada.</w:t>
      </w:r>
      <w:r w:rsidRPr="00AA1EE5">
        <w:rPr>
          <w:rFonts w:ascii="Verdana" w:hAnsi="Verdana" w:cs="Times New Roman"/>
          <w:color w:val="000000"/>
          <w:sz w:val="20"/>
          <w:szCs w:val="20"/>
          <w:vertAlign w:val="superscript"/>
        </w:rPr>
        <w:t>1</w:t>
      </w:r>
      <w:r w:rsidRPr="00AA1EE5">
        <w:rPr>
          <w:rFonts w:ascii="Verdana" w:hAnsi="Verdana" w:cs="Times New Roman"/>
          <w:color w:val="000000"/>
          <w:sz w:val="20"/>
          <w:szCs w:val="20"/>
        </w:rPr>
        <w:t> The dynamic interaction in the decentralization process, Karlsen contends, is implicit in the title of the article, "decentralized centralism."</w:t>
      </w:r>
      <w:hyperlink r:id="rId4" w:anchor="2" w:history="1">
        <w:r w:rsidRPr="00AA1EE5">
          <w:rPr>
            <w:rFonts w:ascii="Verdana" w:hAnsi="Verdana" w:cs="Times New Roman"/>
            <w:color w:val="0000FF"/>
            <w:sz w:val="20"/>
            <w:szCs w:val="20"/>
            <w:u w:val="single"/>
            <w:vertAlign w:val="superscript"/>
          </w:rPr>
          <w:t>2</w:t>
        </w:r>
      </w:hyperlink>
    </w:p>
    <w:p w14:paraId="40461DEF"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Decentralization has appeared on the political agenda for almost three decades and has become a worldwide trend. As a government initiative, decentralization has been evident in Western societies as well as in developing countries (Rondinelli et al. 1983). Governments have used decentralization as a strategy in various institutions within the public sector, including education where there is a prevalent belief that decentralization will bring about desired large-scale educational reforms. </w:t>
      </w:r>
    </w:p>
    <w:p w14:paraId="5CF73E74" w14:textId="77777777" w:rsidR="00AA1EE5" w:rsidRPr="00AA1EE5" w:rsidRDefault="00AA1EE5" w:rsidP="00AA1EE5">
      <w:pPr>
        <w:spacing w:before="100" w:beforeAutospacing="1" w:after="100" w:afterAutospacing="1"/>
        <w:jc w:val="center"/>
        <w:rPr>
          <w:rFonts w:ascii="-webkit-standard" w:hAnsi="-webkit-standard" w:cs="Times New Roman"/>
          <w:color w:val="000000"/>
        </w:rPr>
      </w:pPr>
      <w:r w:rsidRPr="00AA1EE5">
        <w:rPr>
          <w:rFonts w:ascii="Verdana" w:hAnsi="Verdana" w:cs="Times New Roman"/>
          <w:b/>
          <w:bCs/>
          <w:color w:val="000000"/>
          <w:sz w:val="20"/>
          <w:szCs w:val="20"/>
        </w:rPr>
        <w:t>The Phenomenon of Decentralization</w:t>
      </w:r>
    </w:p>
    <w:p w14:paraId="1423BFCF"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The phenomenon of decentralization is closely connected to other concepts such as deconcentration, deregulation, delegation, debureaucratization, and independence (Smith 1985). The term "decentralization" has no precise meaning, but normally refers to a spectrum of phenomena that have one thing in common: they all refer to a dynamic relationship between the center and periphery. The center and periphery can be seen as the ends of a continuum and also as relative concepts depending on the context (Mintzberg, 1983). What is considered decentralization at one level can easily be seen as centralization at another. Johan Galtung developed a conceptual framework that he terms "peripheral center" (1974, p. 129). Galtung's contention is that there will normally be both a center in the periphery and a periphery in the center. Decentralization usually refers to a movement from the center to the periphery (Brown, 1990; Galtung,1974). But the concept itself does not give any information about the strength of the movement or what is really moved. Normally, the concept of decentralization suggests power of some kind. It can also be understood in a territorial way as location of authority and power over formal rights to educational decision-making (Levin &amp; Young, 1994). This territorial sense of decentralization suggests a deconcentration as tasks and power are moved from central to local bodies. </w:t>
      </w:r>
    </w:p>
    <w:p w14:paraId="3A822F9B"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Decentralization movements from the center to the periphery and centralization movements in the opposite direction normally lead to tension, not only between central and local bodies, but also among various institutions and groups at the central and local levels. Recent research conducted by the OECD (1995) suggests that there are different understandings of decentralization and local management, representing a wide range of practices in different countries. </w:t>
      </w:r>
    </w:p>
    <w:p w14:paraId="2F692B1F"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lastRenderedPageBreak/>
        <w:t>Researchers have tried to classify and categorize decentralization (Cristofoli, 1997; Karlsen 1993; Lane 1984; Lauglo 1995). These efforts highlight an important distinction between decentralization as delegation and decentralization as devolution. Delegation normally implies a transmission of tasks and administrative responsibilities related to specific functions, usually defined by central authorities. In this sense, the decentralization of tasks does not necessarily mean a shift of power because the local agents generally are only given the role of executing decisions that have previously been made at a central level (Lane 1984; Lauglo 1995). On the other hand, delegation may indicate an extended local autonomy simply because total central control is difficult. Decentralization as devolution implies the transmission of authority and responsibility from central to local bodies (McGinn, 1992). Devolution is the only category of decentralization in which local authority and independence are clearly increased. </w:t>
      </w:r>
    </w:p>
    <w:p w14:paraId="70A8079F"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The phenomenon of decentralization is not unambiguous. Politicians have given various arguments for the policy of decentralization, while researchers have tried to give broad and universal explanations for the process (Lauglo &amp; McLean, 1985; Weiler, 1990). </w:t>
      </w:r>
    </w:p>
    <w:p w14:paraId="793943E9" w14:textId="77777777" w:rsidR="00AA1EE5" w:rsidRPr="00AA1EE5" w:rsidRDefault="00AA1EE5" w:rsidP="00AA1EE5">
      <w:pPr>
        <w:jc w:val="center"/>
        <w:rPr>
          <w:rFonts w:ascii="Verdana" w:eastAsia="Times New Roman" w:hAnsi="Verdana" w:cs="Times New Roman"/>
          <w:color w:val="000000"/>
        </w:rPr>
      </w:pPr>
      <w:r w:rsidRPr="00AA1EE5">
        <w:rPr>
          <w:rFonts w:ascii="Verdana" w:eastAsia="Times New Roman" w:hAnsi="Verdana" w:cs="Times New Roman"/>
          <w:b/>
          <w:bCs/>
          <w:color w:val="000000"/>
          <w:sz w:val="20"/>
          <w:szCs w:val="20"/>
        </w:rPr>
        <w:t>The Decentralization Movement in Education in Norway</w:t>
      </w:r>
    </w:p>
    <w:p w14:paraId="24EF4A3E"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My recent study of the decentralization process in education in Norway (Karlsen, 1993) revealed that arguments favoring decentralization policy were first evident in the late 1960s and became very strong by the late 1970s. The decentralization movement in education in Norway continued during the 1980s and 1990s, although the arguments and the nature of the decentralization movement itself changed over time. </w:t>
      </w:r>
    </w:p>
    <w:p w14:paraId="0AFFE519"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Four key arguments underpin the decentralization movement in Norway. Three of these arguments were strong during the whole period, but weakened in the late 1980s and into the 1990s. The initial argument favoring decentralization policy was supported by the claim that decentralization would strengthen democracy by transferring power from central to local bodies and by bringing the decision-making process closer to the people. This belief was expressed in the platforms presented by political parties in Norway in the 1970s (Kjøl &amp; Telhaug, 1979) as well as in the governments' official curriculum documents. </w:t>
      </w:r>
      <w:r w:rsidRPr="00AA1EE5">
        <w:rPr>
          <w:rFonts w:ascii="Verdana" w:hAnsi="Verdana" w:cs="Times New Roman"/>
          <w:i/>
          <w:iCs/>
          <w:color w:val="000000"/>
          <w:sz w:val="20"/>
          <w:szCs w:val="20"/>
        </w:rPr>
        <w:t>The Curriculum Guidelines of 1974</w:t>
      </w:r>
      <w:r w:rsidRPr="00AA1EE5">
        <w:rPr>
          <w:rFonts w:ascii="Verdana" w:hAnsi="Verdana" w:cs="Times New Roman"/>
          <w:color w:val="000000"/>
          <w:sz w:val="20"/>
          <w:szCs w:val="20"/>
          <w:vertAlign w:val="superscript"/>
        </w:rPr>
        <w:t>3</w:t>
      </w:r>
      <w:r w:rsidRPr="00AA1EE5">
        <w:rPr>
          <w:rFonts w:ascii="Verdana" w:hAnsi="Verdana" w:cs="Times New Roman"/>
          <w:color w:val="000000"/>
          <w:sz w:val="20"/>
          <w:szCs w:val="20"/>
        </w:rPr>
        <w:t> and particularly the </w:t>
      </w:r>
      <w:r w:rsidRPr="00AA1EE5">
        <w:rPr>
          <w:rFonts w:ascii="Verdana" w:hAnsi="Verdana" w:cs="Times New Roman"/>
          <w:i/>
          <w:iCs/>
          <w:color w:val="000000"/>
          <w:sz w:val="20"/>
          <w:szCs w:val="20"/>
        </w:rPr>
        <w:t>Revised Guidelines of 1987</w:t>
      </w:r>
      <w:r w:rsidRPr="00AA1EE5">
        <w:rPr>
          <w:rFonts w:ascii="Verdana" w:hAnsi="Verdana" w:cs="Times New Roman"/>
          <w:color w:val="000000"/>
          <w:sz w:val="20"/>
          <w:szCs w:val="20"/>
        </w:rPr>
        <w:t> outlined the common basic principles and objectives of compulsory education, but at the same time gave the schools and the teachers a great deal more freedom than they had previously experienced. As early as 1969, the </w:t>
      </w:r>
      <w:r w:rsidRPr="00AA1EE5">
        <w:rPr>
          <w:rFonts w:ascii="Verdana" w:hAnsi="Verdana" w:cs="Times New Roman"/>
          <w:i/>
          <w:iCs/>
          <w:color w:val="000000"/>
          <w:sz w:val="20"/>
          <w:szCs w:val="20"/>
        </w:rPr>
        <w:t>Educational Law for Primary and Lower Secondary Schools</w:t>
      </w:r>
      <w:r w:rsidRPr="00AA1EE5">
        <w:rPr>
          <w:rFonts w:ascii="Verdana" w:hAnsi="Verdana" w:cs="Times New Roman"/>
          <w:color w:val="000000"/>
          <w:sz w:val="20"/>
          <w:szCs w:val="20"/>
        </w:rPr>
        <w:t> gave the community and the students the right to participate in decision making at the school level. </w:t>
      </w:r>
    </w:p>
    <w:p w14:paraId="1604A8E1"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The second argument was linked to an understanding of the innovation process and school development. Over the course of the decentralization movement, for example, the traditional top-down governance and innovation strategy was gradually abandoned for a more decentralized bottom-up strategy. The favoring of the bottom-up strategy was based on the belief that true implementation would only occur if those involved at the grassroots level supported the innovation or reform (Østerud, 1991). Local initiative and local participation became important. Making political decisions at the top level did not necessarily guarantee that the reform was implemented at school level. The assumption was that people would accept a decision and be willing to abide by it if they were responsible for making that decision. As a result, the individual school was then considered a critical, important organizational unit. Decentralization was perceived as a necessary condition for school-based development. </w:t>
      </w:r>
    </w:p>
    <w:p w14:paraId="4BCF8D70"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i/>
          <w:iCs/>
          <w:color w:val="000000"/>
          <w:sz w:val="20"/>
          <w:szCs w:val="20"/>
        </w:rPr>
        <w:t>The Curriculum Guidelines of 1987</w:t>
      </w:r>
      <w:r w:rsidRPr="00AA1EE5">
        <w:rPr>
          <w:rFonts w:ascii="Verdana" w:hAnsi="Verdana" w:cs="Times New Roman"/>
          <w:color w:val="000000"/>
          <w:sz w:val="20"/>
          <w:szCs w:val="20"/>
        </w:rPr>
        <w:t>gave the local school freedom to develop local curricula and to adapt the guidelines to local needs and conditions. But even though the bottom-up strategy is still the accepted rhetoric, there has been a shift toward a more traditional top-down government strategy in the 1990s. The new curriculum guidelines in Norway, which came into effect in 1997, are mainly the result of a central initiative to bring back the top-down strategy. </w:t>
      </w:r>
    </w:p>
    <w:p w14:paraId="7471E963"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The third argument favoring decentralization characterized it as a strategy for strengthening the local culture, local businesses, and the local community as a whole. The claim was that decentralization made it possible for the local school to design programs and activities better adapted to the needs of the local community. It was argued that a more flexible and locally oriented school had a positive effect on students' motivation and learning, gave them a feeling of belonging to the local community, and made them aware of the role they had to play in the community. Underpinning this argument was the belief that the local school should first of all be an agent for the local community and not for the larger society (Solstad,1994). </w:t>
      </w:r>
    </w:p>
    <w:p w14:paraId="511363CA"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During the 1970s and 1980s there was a move toward a less standardized and more locally oriented curriculum. The </w:t>
      </w:r>
      <w:r w:rsidRPr="00AA1EE5">
        <w:rPr>
          <w:rFonts w:ascii="Verdana" w:hAnsi="Verdana" w:cs="Times New Roman"/>
          <w:i/>
          <w:iCs/>
          <w:color w:val="000000"/>
          <w:sz w:val="20"/>
          <w:szCs w:val="20"/>
        </w:rPr>
        <w:t>Curriculum Guidelines of 1987</w:t>
      </w:r>
      <w:r w:rsidRPr="00AA1EE5">
        <w:rPr>
          <w:rFonts w:ascii="Verdana" w:hAnsi="Verdana" w:cs="Times New Roman"/>
          <w:color w:val="000000"/>
          <w:sz w:val="20"/>
          <w:szCs w:val="20"/>
        </w:rPr>
        <w:t> opened up the curriculum to include local knowledge and local culture. But the new </w:t>
      </w:r>
      <w:r w:rsidRPr="00AA1EE5">
        <w:rPr>
          <w:rFonts w:ascii="Verdana" w:hAnsi="Verdana" w:cs="Times New Roman"/>
          <w:i/>
          <w:iCs/>
          <w:color w:val="000000"/>
          <w:sz w:val="20"/>
          <w:szCs w:val="20"/>
        </w:rPr>
        <w:t>Curriculum Guidelines of 1997</w:t>
      </w:r>
      <w:r w:rsidRPr="00AA1EE5">
        <w:rPr>
          <w:rFonts w:ascii="Verdana" w:hAnsi="Verdana" w:cs="Times New Roman"/>
          <w:color w:val="000000"/>
          <w:sz w:val="20"/>
          <w:szCs w:val="20"/>
        </w:rPr>
        <w:t> changed this endeavor by focusing on a national standardized curriculum and stressing a more academic and skill-oriented education. </w:t>
      </w:r>
    </w:p>
    <w:p w14:paraId="6FE81AB7"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The fourth argument has become stronger throughout the 1980s and 1990s with the growing perception that decentralization is an effective governance strategy for achieving rationalization and efficiency. Underlying this argument was the belief that local authorities and the individual schools had the competence needed to use existing funding in a more flexible and efficient way and even obtain new local resources. Decentralization from this perspective is understood in a more market-oriented way. The argument here is that schools should be more like the market system and that independence and local autonomy give schools the same opportunity as other businesses to compete in the marketplace. Decentralization is characterized as a strategy for a more privatized and commercialized school. This argument reflects neo-liberal ideology which has often been termed "New Right" and "Thatcherism" (Lawton, 1992). It is a reaction to the economic stagnation that occurred in the Western world during the late 1970s and 1980s. While public funding for education was expanding in the 1960s and early 1970s, the oil crises led to attempts to reduce public spending. From this perspective, the decentralization of authority to the local level has become an important strategy for making schools more accountable and efficient. </w:t>
      </w:r>
    </w:p>
    <w:p w14:paraId="3655D29F" w14:textId="77777777" w:rsidR="00AA1EE5" w:rsidRPr="00AA1EE5" w:rsidRDefault="00AA1EE5" w:rsidP="00AA1EE5">
      <w:pPr>
        <w:spacing w:before="100" w:beforeAutospacing="1" w:after="100" w:afterAutospacing="1"/>
        <w:jc w:val="center"/>
        <w:rPr>
          <w:rFonts w:ascii="-webkit-standard" w:hAnsi="-webkit-standard" w:cs="Times New Roman"/>
          <w:color w:val="000000"/>
        </w:rPr>
      </w:pPr>
      <w:r w:rsidRPr="00AA1EE5">
        <w:rPr>
          <w:rFonts w:ascii="Verdana" w:hAnsi="Verdana" w:cs="Times New Roman"/>
          <w:b/>
          <w:bCs/>
          <w:color w:val="000000"/>
          <w:sz w:val="20"/>
          <w:szCs w:val="20"/>
        </w:rPr>
        <w:t>Explaining the Underpinnings of the Decentralization Policy in Norway</w:t>
      </w:r>
    </w:p>
    <w:p w14:paraId="157DE638"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Hans N. Weiler's (1990) explanation of the underlying motives for decentralization clarifies the process within the educational context in Norway. He explains the different motives by dividing decentralization initiatives into three categories. The first category of initiatives is characterized by the redistribution of authority from central to local levels. Normally this occurs through legislative action or allocation of resources. The second category includes initiatives where decentralization is used as a strategy to obtain more efficiency in the educational sector. The assumption is that decentralization will mobilize local resources and the use of available resources in a more efficient way. The third category focuses on initiatives where decisions concerning the curriculum and culture of learning in schools are made locally by those most affected. Decentralization of these decisions provides more room for local variance and relevance and, it is believed, more motivated students and a better culture of learning. </w:t>
      </w:r>
    </w:p>
    <w:p w14:paraId="19F5BEA0"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Weiler (1990) has a rather critical view of decentralization strategies and he finds that there is tension between decentralization efforts and the need for central control. After studying several educational systems, he concludes that decentralization seldom actually occurs, but seems instead to be absorbed into the existing centralized or semi-centralized structure of educational governance. Still, he sees decentralization as important as a way to manage conflict and to give what is called "compensatory legitimization." That is, the modern state has to compensate "the erosion of legitimacy" and decentralization rhetoric is a way to enhance its legitimacy and thereby maintain power. </w:t>
      </w:r>
    </w:p>
    <w:p w14:paraId="039EB028"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Another explanation is presented by Jon Lauglo and Martin McLean. In their book The </w:t>
      </w:r>
      <w:r w:rsidRPr="00AA1EE5">
        <w:rPr>
          <w:rFonts w:ascii="Verdana" w:hAnsi="Verdana" w:cs="Times New Roman"/>
          <w:i/>
          <w:iCs/>
          <w:color w:val="000000"/>
          <w:sz w:val="20"/>
          <w:szCs w:val="20"/>
        </w:rPr>
        <w:t>Control of Education</w:t>
      </w:r>
      <w:r w:rsidRPr="00AA1EE5">
        <w:rPr>
          <w:rFonts w:ascii="Verdana" w:hAnsi="Verdana" w:cs="Times New Roman"/>
          <w:color w:val="000000"/>
          <w:sz w:val="20"/>
          <w:szCs w:val="20"/>
        </w:rPr>
        <w:t>(1985), these authors describe three rationales behind decentralization. The administrative rationale has the underlying assumption that administration in a centralized system is unnecessary, extensive, elaborate, and slow working. From this perspective, decentralization is a strategy to avoid these effects. In the political rationale, decentralization is seen as a way to reduce professional power and to maintain and even reinforce political control and power. Giving more power to parents and the local community is one way to achieve this. The ideological rationale is based on some fundamental assumptions about human beings and the society in which the individual is perceived as responsible and holistic. From this perspective, decentralization on the individual level creates conditions promoting activity and responsibility, and on the societal level conditions that sustain the rural sector and weaken urbanization. </w:t>
      </w:r>
    </w:p>
    <w:p w14:paraId="79D8B290"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If we apply Weiler's categories and Lauglo and McLean's rationales to my findings from Norway, there is evidence of the first of Weiler's categories, namely the redistribution of authority, and for the Lauglo and McLean's political rationale, mostly in the late 1960s and the 1970s. There is also evidence of Weiler's efficiency category and for Lauglo and McLean's administrative rationale, particularly in the late 1980s and 1990s. Decentralization as a strategy to strengthen local culture in a learning process, Weiler's third category, was evident in the 1970s and most of the 1980s, but became considerably weaker in the 1990s. At the same time, we find an understanding of decentralization as local school management, giving an increasing role to parents. Ideologically, this is not primarily an argument for local culture but rather for institutional autonomy and individual rights. In contrast to the situation in many other countries (Levin, 1997), arguments for the parents' right to choose their children's school have played little to no role in Norway. </w:t>
      </w:r>
    </w:p>
    <w:p w14:paraId="09473BD2"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Weiler's categories and Lauglo and McLean's rationales explain in a limited manner the arguments in which decentralization is perceived as a bottom-up strategy for innovation. They are not, however, all encompassing, nor do they consider the change in the arguments over time. In the 1970s, the most important arguments were based on efforts to establish new democratic institutions for participation, debate, and decision-making. In the 1980s and 1990s, decentralization was a way to achieve more efficiency and the democracy argument changed into a more individualistic and market-oriented one, focusing on individual rights and free choice. The political shift from left to right was blurred by the decentralization rhetoric. Still, the categories and rationales that have been developed have been important in supporting a better understanding of the phenomenon of decentralization. </w:t>
      </w:r>
    </w:p>
    <w:p w14:paraId="0CCEA45C"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As my findings from Norway suggest, it is important to consider the context in which decentralization takes place. Understanding decentralization as a governance strategy requires a historical and comparative perspective. The time and place in which decentralization occurs affects the arguments and the understanding of the rationales underpinning the process. At the same time, there is much that can be learned from the features and patterns of decentralization as a governance strategy employed in different countries. In the following, I focus on four aspects of the dynamic interaction of the decentralization process that I have called "decentralized centralism." I will use cases from Norway and from British Columbia, Canada, to illustrate my points,</w:t>
      </w:r>
      <w:r w:rsidRPr="00AA1EE5">
        <w:rPr>
          <w:rFonts w:ascii="Verdana" w:hAnsi="Verdana" w:cs="Times New Roman"/>
          <w:color w:val="000000"/>
          <w:sz w:val="20"/>
          <w:szCs w:val="20"/>
          <w:vertAlign w:val="superscript"/>
        </w:rPr>
        <w:t>4</w:t>
      </w:r>
      <w:r w:rsidRPr="00AA1EE5">
        <w:rPr>
          <w:rFonts w:ascii="Verdana" w:hAnsi="Verdana" w:cs="Times New Roman"/>
          <w:color w:val="000000"/>
          <w:sz w:val="20"/>
          <w:szCs w:val="20"/>
        </w:rPr>
        <w:t>showing decentralization as a governance strategy in the field of education. </w:t>
      </w:r>
    </w:p>
    <w:p w14:paraId="6E841252" w14:textId="77777777" w:rsidR="00AA1EE5" w:rsidRPr="00AA1EE5" w:rsidRDefault="00AA1EE5" w:rsidP="00AA1EE5">
      <w:pPr>
        <w:rPr>
          <w:rFonts w:ascii="Times New Roman" w:eastAsia="Times New Roman" w:hAnsi="Times New Roman" w:cs="Times New Roman"/>
        </w:rPr>
      </w:pPr>
      <w:r w:rsidRPr="00AA1EE5">
        <w:rPr>
          <w:rFonts w:ascii="Verdana" w:eastAsia="Times New Roman" w:hAnsi="Verdana" w:cs="Times New Roman"/>
          <w:color w:val="000000"/>
        </w:rPr>
        <w:t>  </w:t>
      </w:r>
    </w:p>
    <w:p w14:paraId="5BBFB6C5" w14:textId="77777777" w:rsidR="00AA1EE5" w:rsidRPr="00AA1EE5" w:rsidRDefault="00AA1EE5" w:rsidP="00AA1EE5">
      <w:pPr>
        <w:spacing w:before="100" w:beforeAutospacing="1" w:after="100" w:afterAutospacing="1"/>
        <w:jc w:val="center"/>
        <w:rPr>
          <w:rFonts w:ascii="-webkit-standard" w:hAnsi="-webkit-standard" w:cs="Times New Roman"/>
          <w:color w:val="000000"/>
        </w:rPr>
      </w:pPr>
      <w:r w:rsidRPr="00AA1EE5">
        <w:rPr>
          <w:rFonts w:ascii="Verdana" w:hAnsi="Verdana" w:cs="Times New Roman"/>
          <w:b/>
          <w:bCs/>
          <w:color w:val="000000"/>
          <w:sz w:val="20"/>
          <w:szCs w:val="20"/>
        </w:rPr>
        <w:t>The Dynamics of the Decentralization Process:</w:t>
      </w:r>
      <w:r w:rsidRPr="00AA1EE5">
        <w:rPr>
          <w:rFonts w:ascii="Verdana" w:hAnsi="Verdana" w:cs="Times New Roman"/>
          <w:b/>
          <w:bCs/>
          <w:color w:val="000000"/>
          <w:sz w:val="20"/>
          <w:szCs w:val="20"/>
        </w:rPr>
        <w:br/>
        <w:t>Cases from Norway and British Columbia, Canada</w:t>
      </w:r>
    </w:p>
    <w:p w14:paraId="64D37B75" w14:textId="77777777" w:rsidR="00AA1EE5" w:rsidRPr="00AA1EE5" w:rsidRDefault="00AA1EE5" w:rsidP="00AA1EE5">
      <w:pPr>
        <w:rPr>
          <w:rFonts w:ascii="Verdana" w:eastAsia="Times New Roman" w:hAnsi="Verdana" w:cs="Times New Roman"/>
          <w:color w:val="000000"/>
          <w:sz w:val="20"/>
          <w:szCs w:val="20"/>
        </w:rPr>
      </w:pPr>
      <w:r w:rsidRPr="00AA1EE5">
        <w:rPr>
          <w:rFonts w:ascii="Verdana" w:eastAsia="Times New Roman" w:hAnsi="Verdana" w:cs="Times New Roman"/>
          <w:color w:val="000000"/>
          <w:sz w:val="20"/>
          <w:szCs w:val="20"/>
        </w:rPr>
        <w:t>Studies of decentralization create a complex and sometimes paradoxical impression of the phenomenon. Benjamin Levin, for example, points out that decentralization represents a wide range of practices, "some of which appear very little different than the supposedly more centralized approaches they have supplanted" (1997, p. 260). Researchers have emphasized the contrasting, contradictory, and ambiguous factors in the decentralization process (Cristofoli, 1997; Haavelsrud, 1997; Kelsey, et al.,1995) and seem to agree that there will normally be tension among those involved. </w:t>
      </w:r>
    </w:p>
    <w:p w14:paraId="203413D1" w14:textId="77777777" w:rsidR="00AA1EE5" w:rsidRPr="00AA1EE5" w:rsidRDefault="00AA1EE5" w:rsidP="00AA1EE5">
      <w:pPr>
        <w:spacing w:before="100" w:beforeAutospacing="1" w:after="100" w:afterAutospacing="1"/>
        <w:jc w:val="center"/>
        <w:rPr>
          <w:rFonts w:ascii="-webkit-standard" w:hAnsi="-webkit-standard" w:cs="Times New Roman"/>
          <w:color w:val="000000"/>
        </w:rPr>
      </w:pPr>
      <w:r w:rsidRPr="00AA1EE5">
        <w:rPr>
          <w:rFonts w:ascii="Verdana" w:hAnsi="Verdana" w:cs="Times New Roman"/>
          <w:b/>
          <w:bCs/>
          <w:color w:val="000000"/>
          <w:sz w:val="20"/>
          <w:szCs w:val="20"/>
        </w:rPr>
        <w:t>The Dynamics of Initiating</w:t>
      </w:r>
    </w:p>
    <w:p w14:paraId="08E90A60"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How decentralization and decentralization efforts are initiated is a fundamental question. A logical hypothesis would be that decentralization is normally initiated from below, or as a result of pressure from below, and has a grassroots base. It follows logically then, that decentralization reforms normally have the intention of transmitting power and influence from the central level to the lower levels. Empirical studies of decentralization reforms over time, however, do not support this hypothesis. Paradoxically, one typical trait seems to be that decentralization reforms are normally initiated from the top by the authorities at the central level. My study of Norway shows that most of the educational decentralization reforms from the late 1960s on were initiated at the central national level (Karlsen, 1993). Of course, some decentralization reforms resulted from pressure and action from below, but decentralization reforms have also been met with passivity and even resistance at the local level. Given this evidence one might argue that decentralization from the national level may function to prevent a threat to central legitimacy and thereby consolidate the central power platform. In this light, it is not surprising to find that decentralization reforms have often led to new central legislation and regulations. </w:t>
      </w:r>
    </w:p>
    <w:p w14:paraId="6F3FC95B"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One recent example of decentralization reform in Norway that was initiated from the top is the new </w:t>
      </w:r>
      <w:r w:rsidRPr="00AA1EE5">
        <w:rPr>
          <w:rFonts w:ascii="Verdana" w:hAnsi="Verdana" w:cs="Times New Roman"/>
          <w:i/>
          <w:iCs/>
          <w:color w:val="000000"/>
          <w:sz w:val="20"/>
          <w:szCs w:val="20"/>
        </w:rPr>
        <w:t>Local Governing Act</w:t>
      </w:r>
      <w:r w:rsidRPr="00AA1EE5">
        <w:rPr>
          <w:rFonts w:ascii="Verdana" w:hAnsi="Verdana" w:cs="Times New Roman"/>
          <w:color w:val="000000"/>
          <w:sz w:val="20"/>
          <w:szCs w:val="20"/>
        </w:rPr>
        <w:t> (Kommuneloven) for the municipalities of 1993 that gave more local freedom and more authority to the municipalities and schools. Another is the new funding system established in 1986 (St. meld. nr. 56 1986-87). Within what has become known as the lump-sum system, the state gives a sum of money to the municipalities to cover the costs of schools as well as the costs of other sectors, such as culture and health services. In many municipalities, this lump-sum system is then employed to fund schools. The school principal, then, becomes responsible for the budget. When this funding plan was initiated, a detailed, centralized ear-marked system was replaced by central regulations for a lump-sum system that made the municipal and school levels responsible for the budget. Both of these reforms have been referred to as decentralization reforms, and both were initiated at the national level. They have been met with both support and resistance at the local level. In particular, there has been skepticism about, and resistance to the lump-sum system among the teachers and their unions who claim that the new system will lead to more disparity among schools and weaken the principle of equality of educational opportunity, a principle that has been a basic ideal in Norwegian educational policy (Solstad, 1994). </w:t>
      </w:r>
    </w:p>
    <w:p w14:paraId="7D1CA902"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Similarly, British Columbia, Canada, has recently had a new funding system centrally imposed through the </w:t>
      </w:r>
      <w:r w:rsidRPr="00AA1EE5">
        <w:rPr>
          <w:rFonts w:ascii="Verdana" w:hAnsi="Verdana" w:cs="Times New Roman"/>
          <w:i/>
          <w:iCs/>
          <w:color w:val="000000"/>
          <w:sz w:val="20"/>
          <w:szCs w:val="20"/>
        </w:rPr>
        <w:t>School Amendment Act of 1990.</w:t>
      </w:r>
      <w:r w:rsidRPr="00AA1EE5">
        <w:rPr>
          <w:rFonts w:ascii="Verdana" w:hAnsi="Verdana" w:cs="Times New Roman"/>
          <w:color w:val="000000"/>
          <w:sz w:val="20"/>
          <w:szCs w:val="20"/>
        </w:rPr>
        <w:t> This Act instituted a lump-sum funding system with more local freedom. Bargaining rights within British Columbia provide a good illustration of the dynamics of initiating decentralization. In the late 1980s, British Columbia enacted a number of pieces of legislation with consequences for the education system (Teaching Profession Act 1987). One of these acts, </w:t>
      </w:r>
      <w:r w:rsidRPr="00AA1EE5">
        <w:rPr>
          <w:rFonts w:ascii="Verdana" w:hAnsi="Verdana" w:cs="Times New Roman"/>
          <w:i/>
          <w:iCs/>
          <w:color w:val="000000"/>
          <w:sz w:val="20"/>
          <w:szCs w:val="20"/>
        </w:rPr>
        <w:t>The Industrial Relation Act of 1987</w:t>
      </w:r>
      <w:r w:rsidRPr="00AA1EE5">
        <w:rPr>
          <w:rFonts w:ascii="Verdana" w:hAnsi="Verdana" w:cs="Times New Roman"/>
          <w:color w:val="000000"/>
          <w:sz w:val="20"/>
          <w:szCs w:val="20"/>
        </w:rPr>
        <w:t>, managed the certification of bargaining agents and the rules governing bargaining. Teachers' unions had their bargaining rights expanded to the local level; that is, they had the right to carry out collective bargaining with the local school board. Principals were now considered to be administrative officers responsible for managing schools and were excluded from membership in the teachers' unions (Ungerleider, 1996). It was a central and not a local decision to hand over to local bodies the right to bargain and the power involved in the bargaining process. </w:t>
      </w:r>
    </w:p>
    <w:p w14:paraId="4F8CA2CB"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This decentralization of bargaining rights is a good example of the dynamics of initiating decentralization and of how reforms have to be assessed in a historical context. In this case, the </w:t>
      </w:r>
      <w:r w:rsidRPr="00AA1EE5">
        <w:rPr>
          <w:rFonts w:ascii="Verdana" w:hAnsi="Verdana" w:cs="Times New Roman"/>
          <w:i/>
          <w:iCs/>
          <w:color w:val="000000"/>
          <w:sz w:val="20"/>
          <w:szCs w:val="20"/>
        </w:rPr>
        <w:t>Industrial Relations Act</w:t>
      </w:r>
      <w:r w:rsidRPr="00AA1EE5">
        <w:rPr>
          <w:rFonts w:ascii="Verdana" w:hAnsi="Verdana" w:cs="Times New Roman"/>
          <w:color w:val="000000"/>
          <w:sz w:val="20"/>
          <w:szCs w:val="20"/>
        </w:rPr>
        <w:t> has to be understood in relation to the </w:t>
      </w:r>
      <w:r w:rsidRPr="00AA1EE5">
        <w:rPr>
          <w:rFonts w:ascii="Verdana" w:hAnsi="Verdana" w:cs="Times New Roman"/>
          <w:i/>
          <w:iCs/>
          <w:color w:val="000000"/>
          <w:sz w:val="20"/>
          <w:szCs w:val="20"/>
        </w:rPr>
        <w:t>Teaching Profession Act (1987)</w:t>
      </w:r>
      <w:r w:rsidRPr="00AA1EE5">
        <w:rPr>
          <w:rFonts w:ascii="Verdana" w:hAnsi="Verdana" w:cs="Times New Roman"/>
          <w:color w:val="000000"/>
          <w:sz w:val="20"/>
          <w:szCs w:val="20"/>
        </w:rPr>
        <w:t>, which in the same year established a college of teachers with the power to formulate and enforce professional standards related to the training, certification, discipline, and professional practice of teaching. As well, the government removed compulsory membership in the union.</w:t>
      </w:r>
      <w:r w:rsidRPr="00AA1EE5">
        <w:rPr>
          <w:rFonts w:ascii="Verdana" w:hAnsi="Verdana" w:cs="Times New Roman"/>
          <w:color w:val="000000"/>
          <w:sz w:val="20"/>
          <w:szCs w:val="20"/>
          <w:vertAlign w:val="superscript"/>
        </w:rPr>
        <w:t>5</w:t>
      </w:r>
      <w:r w:rsidRPr="00AA1EE5">
        <w:rPr>
          <w:rFonts w:ascii="Verdana" w:hAnsi="Verdana" w:cs="Times New Roman"/>
          <w:color w:val="000000"/>
          <w:sz w:val="20"/>
          <w:szCs w:val="20"/>
        </w:rPr>
        <w:t> In this context, the granting of bargaining rights to the local level was interpreted by the teachers' union (the British Columbia Teachers' Federation) as an attack on them, an attempt to reduce the central power of the federation and to increase the governance power.</w:t>
      </w:r>
      <w:r w:rsidRPr="00AA1EE5">
        <w:rPr>
          <w:rFonts w:ascii="Verdana" w:hAnsi="Verdana" w:cs="Times New Roman"/>
          <w:color w:val="000000"/>
          <w:sz w:val="20"/>
          <w:szCs w:val="20"/>
          <w:vertAlign w:val="superscript"/>
        </w:rPr>
        <w:t>6</w:t>
      </w:r>
      <w:r w:rsidRPr="00AA1EE5">
        <w:rPr>
          <w:rFonts w:ascii="Verdana" w:hAnsi="Verdana" w:cs="Times New Roman"/>
          <w:color w:val="000000"/>
          <w:sz w:val="20"/>
          <w:szCs w:val="20"/>
        </w:rPr>
        <w:t> The government's initiating the decentralization of power from the central to local bodies was, in this historical context, understood as the opposite, the attempt to maintain and strengthen governmental central control. </w:t>
      </w:r>
    </w:p>
    <w:p w14:paraId="614E2354"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This example illustrates a contrasting initiating dynamics where reform through decentralization was initiated from the top. However, decentralization reforms can be perceived as being precisely the opposite, and in reality they can also be a strategy for strengthening central power. The decentralization of power to the local bodies also includes making them responsible for implementing central goals. Presented here is a decentralization dynamic in which initiating is a central task, but in which implementation and accountability are local duties. </w:t>
      </w:r>
    </w:p>
    <w:p w14:paraId="0DAE48B3" w14:textId="77777777" w:rsidR="00AA1EE5" w:rsidRPr="00AA1EE5" w:rsidRDefault="00AA1EE5" w:rsidP="00AA1EE5">
      <w:pPr>
        <w:spacing w:before="100" w:beforeAutospacing="1" w:after="100" w:afterAutospacing="1"/>
        <w:jc w:val="center"/>
        <w:rPr>
          <w:rFonts w:ascii="-webkit-standard" w:hAnsi="-webkit-standard" w:cs="Times New Roman"/>
          <w:color w:val="000000"/>
        </w:rPr>
      </w:pPr>
      <w:r w:rsidRPr="00AA1EE5">
        <w:rPr>
          <w:rFonts w:ascii="Verdana" w:hAnsi="Verdana" w:cs="Times New Roman"/>
          <w:b/>
          <w:bCs/>
          <w:color w:val="000000"/>
          <w:sz w:val="20"/>
          <w:szCs w:val="20"/>
        </w:rPr>
        <w:t>The Dynamics of Content</w:t>
      </w:r>
    </w:p>
    <w:p w14:paraId="7227C62D"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Another issue is related to the idea of substance in the decentralization process. Decentralization will normally involve a transmission of tasks and power from the center to the periphery. Decentralization in education has been closely connected to the balance between standardization and diversity of school content and curriculum. More specifically, the centralization(decentralization dimension has led to questions such as: What should be taught in school? To what degree should the curriculum be standardized? Should the curriculum be set at local or national/provincial level? The decision-making processes in relation to curricula in Norway and British Columbia are outlined in the following in order to illustrate the dynamics of content in decentralized centralism. </w:t>
      </w:r>
    </w:p>
    <w:p w14:paraId="7AEAB3AA"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For the last one hundred years, Norway has had a system with a national curriculum for primary and lower secondary schools. During the recent period of decentralization, there has been a shift toward a more standardized content. When the </w:t>
      </w:r>
      <w:r w:rsidRPr="00AA1EE5">
        <w:rPr>
          <w:rFonts w:ascii="Verdana" w:hAnsi="Verdana" w:cs="Times New Roman"/>
          <w:i/>
          <w:iCs/>
          <w:color w:val="000000"/>
          <w:sz w:val="20"/>
          <w:szCs w:val="20"/>
        </w:rPr>
        <w:t>Curriculum Guidelines of 1974</w:t>
      </w:r>
      <w:r w:rsidRPr="00AA1EE5">
        <w:rPr>
          <w:rFonts w:ascii="Verdana" w:hAnsi="Verdana" w:cs="Times New Roman"/>
          <w:color w:val="000000"/>
          <w:sz w:val="20"/>
          <w:szCs w:val="20"/>
        </w:rPr>
        <w:t>, revised in 1987 are compared to the </w:t>
      </w:r>
      <w:r w:rsidRPr="00AA1EE5">
        <w:rPr>
          <w:rFonts w:ascii="Verdana" w:hAnsi="Verdana" w:cs="Times New Roman"/>
          <w:i/>
          <w:iCs/>
          <w:color w:val="000000"/>
          <w:sz w:val="20"/>
          <w:szCs w:val="20"/>
        </w:rPr>
        <w:t>Curriculum Guidelines of 1939</w:t>
      </w:r>
      <w:r w:rsidRPr="00AA1EE5">
        <w:rPr>
          <w:rFonts w:ascii="Verdana" w:hAnsi="Verdana" w:cs="Times New Roman"/>
          <w:color w:val="000000"/>
          <w:sz w:val="20"/>
          <w:szCs w:val="20"/>
        </w:rPr>
        <w:t> and </w:t>
      </w:r>
      <w:r w:rsidRPr="00AA1EE5">
        <w:rPr>
          <w:rFonts w:ascii="Verdana" w:hAnsi="Verdana" w:cs="Times New Roman"/>
          <w:i/>
          <w:iCs/>
          <w:color w:val="000000"/>
          <w:sz w:val="20"/>
          <w:szCs w:val="20"/>
        </w:rPr>
        <w:t>1959</w:t>
      </w:r>
      <w:r w:rsidRPr="00AA1EE5">
        <w:rPr>
          <w:rFonts w:ascii="Verdana" w:hAnsi="Verdana" w:cs="Times New Roman"/>
          <w:color w:val="000000"/>
          <w:sz w:val="20"/>
          <w:szCs w:val="20"/>
        </w:rPr>
        <w:t>, there is evidence of the growth over time of freedom and responsibility at the local and classroom levels. The new </w:t>
      </w:r>
      <w:r w:rsidRPr="00AA1EE5">
        <w:rPr>
          <w:rFonts w:ascii="Verdana" w:hAnsi="Verdana" w:cs="Times New Roman"/>
          <w:i/>
          <w:iCs/>
          <w:color w:val="000000"/>
          <w:sz w:val="20"/>
          <w:szCs w:val="20"/>
        </w:rPr>
        <w:t>Curriculum Guidelines of 1997</w:t>
      </w:r>
      <w:r w:rsidRPr="00AA1EE5">
        <w:rPr>
          <w:rFonts w:ascii="Verdana" w:hAnsi="Verdana" w:cs="Times New Roman"/>
          <w:color w:val="000000"/>
          <w:sz w:val="20"/>
          <w:szCs w:val="20"/>
        </w:rPr>
        <w:t>, however, are more uniform and standardized and have less diversity (Læreplanverket, 1996). The guidelines now allow fewer electives and emphasize science, basic skills, and exact knowledge. </w:t>
      </w:r>
    </w:p>
    <w:p w14:paraId="18FB82C3"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This change was caused in part by an evaluation of the Norwegian educational system that was initiated by the Ministry of Education in 1988 and conducted by an OECD expert group (1988). The report questioned the decentralization process and called attention to the risk of lower-quality education in a decentralized system. The OECD report became the basis on which the central authorities initiated a new curriculum reform and a national evaluation system. The ministry started a project aimed at developing models for evaluation and accountability (Granheim &amp; Lundgren, 1990). The new curriculum was developed over a short period of time and was initiated and controlled by the Ministry of Education. Historically, curriculum changes were normally undertaken by representative committees working over several years. </w:t>
      </w:r>
    </w:p>
    <w:p w14:paraId="03D42C04"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It is interesting to note that the province of British Columbia was, at the same time as Norway, involved in an intensive process of working out a revised curriculum called </w:t>
      </w:r>
      <w:r w:rsidRPr="00AA1EE5">
        <w:rPr>
          <w:rFonts w:ascii="Verdana" w:hAnsi="Verdana" w:cs="Times New Roman"/>
          <w:i/>
          <w:iCs/>
          <w:color w:val="000000"/>
          <w:sz w:val="20"/>
          <w:szCs w:val="20"/>
        </w:rPr>
        <w:t>K-12</w:t>
      </w:r>
      <w:r w:rsidRPr="00AA1EE5">
        <w:rPr>
          <w:rFonts w:ascii="Verdana" w:hAnsi="Verdana" w:cs="Times New Roman"/>
          <w:color w:val="000000"/>
          <w:sz w:val="20"/>
          <w:szCs w:val="20"/>
        </w:rPr>
        <w:t> (Province of British Columbia,1994). The new curriculum emphasized work experience, promoted the use of information and computer technology, and demanded that all students take a second language as part of the required curriculum in grades 5 to 8. </w:t>
      </w:r>
      <w:r w:rsidRPr="00AA1EE5">
        <w:rPr>
          <w:rFonts w:ascii="Verdana" w:hAnsi="Verdana" w:cs="Times New Roman"/>
          <w:i/>
          <w:iCs/>
          <w:color w:val="000000"/>
          <w:sz w:val="20"/>
          <w:szCs w:val="20"/>
        </w:rPr>
        <w:t>K-12</w:t>
      </w:r>
      <w:r w:rsidRPr="00AA1EE5">
        <w:rPr>
          <w:rFonts w:ascii="Verdana" w:hAnsi="Verdana" w:cs="Times New Roman"/>
          <w:color w:val="000000"/>
          <w:sz w:val="20"/>
          <w:szCs w:val="20"/>
        </w:rPr>
        <w:t>introduced a new subject called "Personal Planning" from Kindergarten to Grade 7 and "Career and Personal Planning" from grades 8 to 12. In grade 9, students, teachers, and parents were to work together to help each student develop a formal "Student Learning Plan" (SLP). It was considered important "to have students set learning goals" and "develop plans to achieve them" (p. 8). Compared with the earlier curricula, </w:t>
      </w:r>
      <w:r w:rsidRPr="00AA1EE5">
        <w:rPr>
          <w:rFonts w:ascii="Verdana" w:hAnsi="Verdana" w:cs="Times New Roman"/>
          <w:i/>
          <w:iCs/>
          <w:color w:val="000000"/>
          <w:sz w:val="20"/>
          <w:szCs w:val="20"/>
        </w:rPr>
        <w:t>K-12</w:t>
      </w:r>
      <w:r w:rsidRPr="00AA1EE5">
        <w:rPr>
          <w:rFonts w:ascii="Verdana" w:hAnsi="Verdana" w:cs="Times New Roman"/>
          <w:color w:val="000000"/>
          <w:sz w:val="20"/>
          <w:szCs w:val="20"/>
        </w:rPr>
        <w:t> was more standardized, centralized, and skills-oriented. </w:t>
      </w:r>
    </w:p>
    <w:p w14:paraId="7DA93944"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Again, we can see the dynamics. The decentralization of content and power to set the curriculum at the local level is the reason for and legitimates standardization and central control. And again, we can observe the two-way process between centralization and decentralization. In particular, the new subject introduced in </w:t>
      </w:r>
      <w:r w:rsidRPr="00AA1EE5">
        <w:rPr>
          <w:rFonts w:ascii="Verdana" w:hAnsi="Verdana" w:cs="Times New Roman"/>
          <w:i/>
          <w:iCs/>
          <w:color w:val="000000"/>
          <w:sz w:val="20"/>
          <w:szCs w:val="20"/>
        </w:rPr>
        <w:t>K-12</w:t>
      </w:r>
      <w:r w:rsidRPr="00AA1EE5">
        <w:rPr>
          <w:rFonts w:ascii="Verdana" w:hAnsi="Verdana" w:cs="Times New Roman"/>
          <w:color w:val="000000"/>
          <w:sz w:val="20"/>
          <w:szCs w:val="20"/>
        </w:rPr>
        <w:t> illustrates the dynamics of decision making in relation to content. The introduction of the subject was a central decision that had to be implemented at the provincial level. At the same time, the nature of the new subject gave the local schools and individuals more autonomy and responsibility, which was important for the implementation of central goals. </w:t>
      </w:r>
    </w:p>
    <w:p w14:paraId="6006DF29" w14:textId="77777777" w:rsidR="00AA1EE5" w:rsidRPr="00AA1EE5" w:rsidRDefault="00AA1EE5" w:rsidP="00AA1EE5">
      <w:pPr>
        <w:spacing w:before="100" w:beforeAutospacing="1" w:after="100" w:afterAutospacing="1"/>
        <w:jc w:val="center"/>
        <w:rPr>
          <w:rFonts w:ascii="-webkit-standard" w:hAnsi="-webkit-standard" w:cs="Times New Roman"/>
          <w:color w:val="000000"/>
        </w:rPr>
      </w:pPr>
      <w:r w:rsidRPr="00AA1EE5">
        <w:rPr>
          <w:rFonts w:ascii="Verdana" w:hAnsi="Verdana" w:cs="Times New Roman"/>
          <w:b/>
          <w:bCs/>
          <w:color w:val="000000"/>
          <w:sz w:val="20"/>
          <w:szCs w:val="20"/>
        </w:rPr>
        <w:t>The Dynamics of Levels</w:t>
      </w:r>
    </w:p>
    <w:p w14:paraId="02AC12AC"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As the function and responsibility in the educational system are normally located at various levels, from the center to the periphery, the authority over educational decisions is also located at various levels. The number of levels and the tasks and responsibilities associated with each of those levels, however, vary from one educational system to another. Again, examples from Norway and British Columbia illustrate the dynamics of decentralization as a governance strategy. In the following, I provide a short description of the levels of the educational systems in the two countries. </w:t>
      </w:r>
    </w:p>
    <w:p w14:paraId="1E54FDBE"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Canada is the only industrialized country that has no federal office or department of education (Levin &amp; Young, 1994); the central-state level in education does not exist. The provisions of Section 93 in the </w:t>
      </w:r>
      <w:r w:rsidRPr="00AA1EE5">
        <w:rPr>
          <w:rFonts w:ascii="Verdana" w:hAnsi="Verdana" w:cs="Times New Roman"/>
          <w:i/>
          <w:iCs/>
          <w:color w:val="000000"/>
          <w:sz w:val="20"/>
          <w:szCs w:val="20"/>
        </w:rPr>
        <w:t>Constitution Act</w:t>
      </w:r>
      <w:r w:rsidRPr="00AA1EE5">
        <w:rPr>
          <w:rFonts w:ascii="Verdana" w:hAnsi="Verdana" w:cs="Times New Roman"/>
          <w:color w:val="000000"/>
          <w:sz w:val="20"/>
          <w:szCs w:val="20"/>
          <w:vertAlign w:val="superscript"/>
        </w:rPr>
        <w:t>7</w:t>
      </w:r>
      <w:r w:rsidRPr="00AA1EE5">
        <w:rPr>
          <w:rFonts w:ascii="Verdana" w:hAnsi="Verdana" w:cs="Times New Roman"/>
          <w:color w:val="000000"/>
          <w:sz w:val="20"/>
          <w:szCs w:val="20"/>
        </w:rPr>
        <w:t>give each province authority over education. For the province of British Columbia, decisions regarding education occur at three levels (Ministry of Education, 1995). The first, the central-provincial level, consists of the Ministry of Education which provides leadership for all provincial education agencies at the two lower levels. The second level is that of the school districts that are created through provincial legislation. Schools in British Columbia are organized into 75 school districts governed by elected school boards. The third and most peripheral level is that of the schools and the teachers. In the Norwegian system, there is the Ministry of Education at the central-national level, a national Education Office led by an Educational Director at the regional level, a school administration and normally a school board at the municipal level, and most peripherally, the schools and the teachers at the local level (The Royal Norwegian Ministry of Education, 1992). This four-level system is, in reality, only three levels because the Educational Directors on the regional level are governmental agents, even if they have some degree of governmental freedom. </w:t>
      </w:r>
    </w:p>
    <w:p w14:paraId="3D9730C7"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In both Norway and Canada, educational reforms in the name of decentralization have been intended to transmit power and responsibility from the central level to the intermediate level and, further, to local level. Given this background, I will stress three points. The first point is that the decentralization of tasks and administrative responsibility does not necessarily mean a shift of power from a higher to a lower level. The lump-sum funding reforms in both countries exemplify this. On the one hand, the reform was an administrative decentralization giving the local levels more authority over the budget; on the other hand, the total amount of expenditures was still a central decision and allocation had to be done according to the central existing legal framework. In addition, there are normally tensions and conflicts connected to budget decisions. From this perspective, decentralization can be perceived as the transmission of conflicts and problems from a higher level to a lower one. Depending on the levels, decentralization may have either a conflict-reducing or a conflict-increasing effect. We can deduce from Weiler's theory (1990) that an increased interest in decentralization should be expected in periods of disagreement and conflict about educational politics (Karlsen 1993). </w:t>
      </w:r>
    </w:p>
    <w:p w14:paraId="6C370919"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The second point is that decentralization of authority from central to lower levels can have a legitimizing function for the central level. The modern state is in need of legitimacy (Habermas, 1976). As Weiler (1990) claims, decentralization will give a compensatory legitimization and will thereby reestablish the basis of the state authority. </w:t>
      </w:r>
    </w:p>
    <w:p w14:paraId="1664F6E0"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From a national perspective, Canada's decentralized dimension has given the provincial levels a foothold in their struggle to gain federal respect for provincial and regional differences. But this does not necessary mean that Canada has a highly decentralized school system. Focusing on provincial control over schooling may make federal actions less visible. The federal government is, in spite of the </w:t>
      </w:r>
      <w:r w:rsidRPr="00AA1EE5">
        <w:rPr>
          <w:rFonts w:ascii="Verdana" w:hAnsi="Verdana" w:cs="Times New Roman"/>
          <w:i/>
          <w:iCs/>
          <w:color w:val="000000"/>
          <w:sz w:val="20"/>
          <w:szCs w:val="20"/>
        </w:rPr>
        <w:t>Constitution Act</w:t>
      </w:r>
      <w:r w:rsidRPr="00AA1EE5">
        <w:rPr>
          <w:rFonts w:ascii="Verdana" w:hAnsi="Verdana" w:cs="Times New Roman"/>
          <w:color w:val="000000"/>
          <w:sz w:val="20"/>
          <w:szCs w:val="20"/>
        </w:rPr>
        <w:t>, involved in education (Hodgson, 1987); it runs educational programs, is responsible for educational cooperation with other countries, and through federal departments is responsible for educating personnel. There is also cooperation between provinces at the federal level in education. This is a very interesting observation in a system that so strongly advocates that education is a totally decentralized, provincial responsibility. </w:t>
      </w:r>
    </w:p>
    <w:p w14:paraId="3A5FAD57"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In relation to the curriculum reform in British Columbia (</w:t>
      </w:r>
      <w:r w:rsidRPr="00AA1EE5">
        <w:rPr>
          <w:rFonts w:ascii="Verdana" w:hAnsi="Verdana" w:cs="Times New Roman"/>
          <w:i/>
          <w:iCs/>
          <w:color w:val="000000"/>
          <w:sz w:val="20"/>
          <w:szCs w:val="20"/>
        </w:rPr>
        <w:t>K-12</w:t>
      </w:r>
      <w:r w:rsidRPr="00AA1EE5">
        <w:rPr>
          <w:rFonts w:ascii="Verdana" w:hAnsi="Verdana" w:cs="Times New Roman"/>
          <w:color w:val="000000"/>
          <w:sz w:val="20"/>
          <w:szCs w:val="20"/>
        </w:rPr>
        <w:t>), efforts have been taken to establish a national standard. In a protocol issued in 1993, ministers from Western Canada</w:t>
      </w:r>
      <w:r w:rsidRPr="00AA1EE5">
        <w:rPr>
          <w:rFonts w:ascii="Verdana" w:hAnsi="Verdana" w:cs="Times New Roman"/>
          <w:color w:val="000000"/>
          <w:sz w:val="20"/>
          <w:szCs w:val="20"/>
          <w:vertAlign w:val="superscript"/>
        </w:rPr>
        <w:t>8</w:t>
      </w:r>
      <w:r w:rsidRPr="00AA1EE5">
        <w:rPr>
          <w:rFonts w:ascii="Verdana" w:hAnsi="Verdana" w:cs="Times New Roman"/>
          <w:color w:val="000000"/>
          <w:sz w:val="20"/>
          <w:szCs w:val="20"/>
        </w:rPr>
        <w:t> declared that "the ministers of education share many common educational goals and acknowledge the task of ensuring greater harmonization of ways to achieve them" (</w:t>
      </w:r>
      <w:r w:rsidRPr="00AA1EE5">
        <w:rPr>
          <w:rFonts w:ascii="Verdana" w:hAnsi="Verdana" w:cs="Times New Roman"/>
          <w:i/>
          <w:iCs/>
          <w:color w:val="000000"/>
          <w:sz w:val="20"/>
          <w:szCs w:val="20"/>
        </w:rPr>
        <w:t>Western Canadian Protocol,</w:t>
      </w:r>
      <w:r w:rsidRPr="00AA1EE5">
        <w:rPr>
          <w:rFonts w:ascii="Verdana" w:hAnsi="Verdana" w:cs="Times New Roman"/>
          <w:color w:val="000000"/>
          <w:sz w:val="20"/>
          <w:szCs w:val="20"/>
        </w:rPr>
        <w:t>1993, p. 2). This harmonization-seeking centralization movement is reinforced on the national level by the federal government's work to set national standards and indicators for education, and to develop national assessments (Ministère de l'éducation 1994). The Council of Ministers of Education, early in the 1990s, started to work seriously to develop criteria for standards and evaluations that will have a clear impact on education nation-wide (Kelsey, 1992). </w:t>
      </w:r>
    </w:p>
    <w:p w14:paraId="0389C4C4"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The Canadian example can be used to illustrate the dynamics among levels as part of decentralized centralism. Centralization processes, such as harmonization and setting a national standard, would probably not be possible without a strong ideology and statement of provincial responsibility for education in a decentralized system sensitive to local needs and conditions. </w:t>
      </w:r>
    </w:p>
    <w:p w14:paraId="574E44BB"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The third point is that the same phenomenon can be perceived in exactly opposite ways, depending on one's level in the system. In Norway, for example, the municipal level has the responsibility for running the compulsory school system according to central laws and regulations. The municipal level will clearly be perceived as a center in relation to the school level, but at the same time as periphery in relation to the state level. Therefore, the transfer of authority from the state level to the municipal level from a state perspective will be viewed as decentralization (devolution). From the schools' perspective, these actions may be perceived as centralization. This impression of being controlled may be reinforced because the school level is so close to and dependent on the municipal level. The decentralization/centralization dynamics among levels is connected to the roles and functions to which people are assigned. The same reform can be perceived to be contrary, and even be contrary, depending on the level. </w:t>
      </w:r>
    </w:p>
    <w:p w14:paraId="70AF963E" w14:textId="77777777" w:rsidR="00AA1EE5" w:rsidRPr="00AA1EE5" w:rsidRDefault="00AA1EE5" w:rsidP="00AA1EE5">
      <w:pPr>
        <w:spacing w:before="100" w:beforeAutospacing="1" w:after="100" w:afterAutospacing="1"/>
        <w:jc w:val="center"/>
        <w:rPr>
          <w:rFonts w:ascii="-webkit-standard" w:hAnsi="-webkit-standard" w:cs="Times New Roman"/>
          <w:color w:val="000000"/>
        </w:rPr>
      </w:pPr>
      <w:r w:rsidRPr="00AA1EE5">
        <w:rPr>
          <w:rFonts w:ascii="Verdana" w:hAnsi="Verdana" w:cs="Times New Roman"/>
          <w:b/>
          <w:bCs/>
          <w:color w:val="000000"/>
          <w:sz w:val="20"/>
          <w:szCs w:val="20"/>
        </w:rPr>
        <w:t>The Dynamics of Simultaneity</w:t>
      </w:r>
    </w:p>
    <w:p w14:paraId="1B23C056"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The analyses presented of the decentralization process in relation to initiating, content, and levels, show that the model of decentralization and centralization as waves following and replacing each other is far from reality. But we can probably observe the rhetoric of waves, depending on what sounds good in public opinion. The cases referred to from Norway and British Columbia indicate that the process usually goes in two directions at the same time. </w:t>
      </w:r>
    </w:p>
    <w:p w14:paraId="459667CD"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In addition, the government strategy in the late 1980s and 1990s came to fit very well into the new Management by Objectives (MbO) model introduced by the renowned if not legendary Peter F. Drucker (1954, 1964, 1977). Drucker based the development of this model on notions from his early works published in the 1950s and 1960s.</w:t>
      </w:r>
      <w:r w:rsidRPr="00AA1EE5">
        <w:rPr>
          <w:rFonts w:ascii="Verdana" w:hAnsi="Verdana" w:cs="Times New Roman"/>
          <w:color w:val="000000"/>
          <w:sz w:val="20"/>
          <w:szCs w:val="20"/>
          <w:vertAlign w:val="superscript"/>
        </w:rPr>
        <w:t>9</w:t>
      </w:r>
      <w:r w:rsidRPr="00AA1EE5">
        <w:rPr>
          <w:rFonts w:ascii="Verdana" w:hAnsi="Verdana" w:cs="Times New Roman"/>
          <w:color w:val="000000"/>
          <w:sz w:val="20"/>
          <w:szCs w:val="20"/>
        </w:rPr>
        <w:t>MbO was originally developed as a strategy for more cost-efficient production and leadership in industry and business, but in the 1980s it was introduced into the public sector, including education. The MbO model is linear and stresses the importance of planning both on macro- and micro-levels. It is a goal and outcome model in which decentralization is fitted into a centralized strategy. Setting central goals and standards for outcomes are tasks for the central level and therefore centralization, while the means and the responsibility for implementation are local duties and therefore decentralization. Both centralization and decentralization are involved at the same time in the MbO model. </w:t>
      </w:r>
    </w:p>
    <w:p w14:paraId="36190508"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Our two empirical cases, Norway and British Columbia, show that the MbO model has been strongly emphasized, in particular in the importance attached to setting national/provincial goals. In the 1980s, official documents in Norway described the MbO model as a cure-all for every governing and management problem. The government decided that the MbO model should be introduced throughout public administration (FAD 1986; St. meld nr. 37 1990-91). </w:t>
      </w:r>
    </w:p>
    <w:p w14:paraId="78E2CA69"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The same has been the case in British Columbia. One example of this is the government's enacting of new legislation that directly and indirectly affected the educational system. The new Independent School Act (1989), which received royal assent in 1989, was an enabling act.</w:t>
      </w:r>
      <w:r w:rsidRPr="00AA1EE5">
        <w:rPr>
          <w:rFonts w:ascii="Verdana" w:hAnsi="Verdana" w:cs="Times New Roman"/>
          <w:color w:val="000000"/>
          <w:sz w:val="20"/>
          <w:szCs w:val="20"/>
          <w:vertAlign w:val="superscript"/>
        </w:rPr>
        <w:t>10</w:t>
      </w:r>
      <w:r w:rsidRPr="00AA1EE5">
        <w:rPr>
          <w:rFonts w:ascii="Verdana" w:hAnsi="Verdana" w:cs="Times New Roman"/>
          <w:color w:val="000000"/>
          <w:sz w:val="20"/>
          <w:szCs w:val="20"/>
        </w:rPr>
        <w:t> Decentralization and centralization forces occurred at the same time as contradictory phenomena. Kelsey et al. stated in a study of British Columbia, for example, "the decentralization in the Act (School Act 1989) has in effect been countered by a good deal of regulatory re-centralization" (1995, p. 42). This governance strategy adapted principles from the MbO model. Common central goals in a broader program called "Year 2000" were combined with a decentralized strategy that included local freedom to implement the goals within a central framework. </w:t>
      </w:r>
    </w:p>
    <w:p w14:paraId="2F7C1B6D"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The authorities' enthusiasm for the MbO model is understandable. The model maintained central power and control and a kind of hidden discipline at the same time. The model gave local "freedom" and probably encouraged more acceptance for working under pressure because of the local involvement in the planning and implementation. And most importantly, the dynamics of simultaneity as an important element in decentralized centralism was an adequate strategy to handle the persistent dilemmas in the two countries' educational policies (Levin &amp; Young, 1994; Karlsen 1993). </w:t>
      </w:r>
    </w:p>
    <w:p w14:paraId="4734F30C" w14:textId="77777777" w:rsidR="00AA1EE5" w:rsidRPr="00AA1EE5" w:rsidRDefault="00AA1EE5" w:rsidP="00AA1EE5">
      <w:pPr>
        <w:spacing w:before="100" w:beforeAutospacing="1" w:after="100" w:afterAutospacing="1"/>
        <w:jc w:val="center"/>
        <w:rPr>
          <w:rFonts w:ascii="-webkit-standard" w:hAnsi="-webkit-standard" w:cs="Times New Roman"/>
          <w:color w:val="000000"/>
        </w:rPr>
      </w:pPr>
      <w:r w:rsidRPr="00AA1EE5">
        <w:rPr>
          <w:rFonts w:ascii="Verdana" w:hAnsi="Verdana" w:cs="Times New Roman"/>
          <w:b/>
          <w:bCs/>
          <w:color w:val="000000"/>
          <w:sz w:val="20"/>
          <w:szCs w:val="20"/>
        </w:rPr>
        <w:t>Conclusion</w:t>
      </w:r>
    </w:p>
    <w:p w14:paraId="555CF404"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By providing evidence from Norway and British Columbia, Canada, my aim in this article was to describe and explain the dynamics in terms of decentralized centralism. In the last decades in both Canada and Norway, decentralization has been an important policy strategy. It has been more or less a worldwide trend, as well. A comparative study made recently of the administrative educational structures in Norway and France (Cristofoli, 1997) shows similar dynamics. The analysis presented in this article is intended to contribute to the educational literature on decentralization while enhancing our understanding of the larger dynamics involved in educational policy. </w:t>
      </w:r>
    </w:p>
    <w:p w14:paraId="6A0A236E"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Decentralization has to be considered a basic element in educational politics and large-scale systematic reform movements. Roger Dale (1992) has called attention to the remarkable apparent homogeneity in the changes in education and education politics. Dale looked at a common set of education policies as responses to the restructuring of the world economic order. He shows that education is fundamentally rooted in the universalistic theory of modernization and hypothesizes that education is vital for all real progress. </w:t>
      </w:r>
    </w:p>
    <w:p w14:paraId="21FE14F8"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The rhetoric of decentralization, even though sometimes contradictory, indicates a strong ideological drive toward not one ideological root but rather toward many. Jon Lauglo (1995) has addressed the connection between decentralization and federalism as an ideology intending to give authority to local units inside the federation. And there are clearly ideological elements in decentralization, such as populism and liberalism, that are reactions against the power of the established elite and advocate more individual freedom. There are elements of both collectivism and individualism. We have seen the collectivistic elements of decentralization in the recent past, connected to desires to increase democracy and to strengthen local culture. There have also been more individualistic elements that envisioned decentralization as a way to promote effectiveness and efficiency in education. I think Basil Berstein (1996, p. 12) is right when he pointed out that "Collectivism may have been weakened, the market may have greater autonomy, but the devices of symbolic control are increasingly state regulated and monitored through the new techniques of decentered centralization." </w:t>
      </w:r>
    </w:p>
    <w:p w14:paraId="2B77380D"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There is clearly a need for more research into the consequences and results of what Bernstein calls the new techniques of decentered centralization. The new government strategy seems to be useful for achieving a closer connection between the economy and education. Both at the local and central levels, decentralization seems to promote commercialization and privatization in the field of education. On the local level, it is easy to observe the consumer orientation. As consumers, parents have the right to choose the school they think will best suit their child. Just as, in a marketplace, consumers want the best product for an acceptable price, they also want the best school for a minimum cost. But the local freedom may be difficult to manage. A recent study of the effects of the new legislation (</w:t>
      </w:r>
      <w:r w:rsidRPr="00AA1EE5">
        <w:rPr>
          <w:rFonts w:ascii="Verdana" w:hAnsi="Verdana" w:cs="Times New Roman"/>
          <w:i/>
          <w:iCs/>
          <w:color w:val="000000"/>
          <w:sz w:val="20"/>
          <w:szCs w:val="20"/>
        </w:rPr>
        <w:t>School Act,</w:t>
      </w:r>
      <w:r w:rsidRPr="00AA1EE5">
        <w:rPr>
          <w:rFonts w:ascii="Verdana" w:hAnsi="Verdana" w:cs="Times New Roman"/>
          <w:color w:val="000000"/>
          <w:sz w:val="20"/>
          <w:szCs w:val="20"/>
        </w:rPr>
        <w:t> 1989) on the work of school superintendents in British Columbia found that they tended to spend less time on educational matters and more on labor relations, contract management, and local political relations (Kelsey et al., 1995). This change is not limited to British Columbia and has been reported in many studies. Educational leaders spend less time on education and more time on what Larry Cuban has called "second order changes" (1988, p. 343). The consequence is that the focus has been moved from the core of the educational process, the relation between teacher and student, to a number of factors less related to the educational process (Fullan, 1991). </w:t>
      </w:r>
    </w:p>
    <w:p w14:paraId="17AE08EA"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On the central level, decentralized centralism seems to be a politically adequate answer to present problems and government crises. The strategy compensates for the lack of legitimacy of the central authorities. The genius of decentralization is just exactly the dimness, variety, and contradictions found in this time-honored concept. From a political point of view, the concept is extremely useful because it can be interpreted in many ways. The dynamics alone seem to be the key element for maintaining the status quo (Haavelsrud, 1997). Decentralized centralism allows for continuous adaptation within a highly complex and pluralistic society. </w:t>
      </w:r>
    </w:p>
    <w:p w14:paraId="0A98C9B6" w14:textId="77777777" w:rsidR="00AA1EE5" w:rsidRPr="00AA1EE5" w:rsidRDefault="00AA1EE5" w:rsidP="00AA1EE5">
      <w:pPr>
        <w:spacing w:before="100" w:beforeAutospacing="1" w:after="100" w:afterAutospacing="1"/>
        <w:jc w:val="center"/>
        <w:rPr>
          <w:rFonts w:ascii="Verdana" w:hAnsi="Verdana" w:cs="Times New Roman"/>
          <w:color w:val="000000"/>
          <w:sz w:val="20"/>
          <w:szCs w:val="20"/>
        </w:rPr>
      </w:pPr>
      <w:r w:rsidRPr="00AA1EE5">
        <w:rPr>
          <w:rFonts w:ascii="Verdana" w:hAnsi="Verdana" w:cs="Times New Roman"/>
          <w:color w:val="000000"/>
          <w:sz w:val="20"/>
          <w:szCs w:val="20"/>
        </w:rPr>
        <w:br/>
      </w:r>
      <w:r w:rsidRPr="00AA1EE5">
        <w:rPr>
          <w:rFonts w:ascii="Verdana" w:hAnsi="Verdana" w:cs="Times New Roman"/>
          <w:b/>
          <w:bCs/>
          <w:color w:val="000000"/>
          <w:sz w:val="20"/>
          <w:szCs w:val="20"/>
        </w:rPr>
        <w:t>References</w:t>
      </w:r>
    </w:p>
    <w:p w14:paraId="227EF049"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Bernstein, B. (1996). </w:t>
      </w:r>
      <w:r w:rsidRPr="00AA1EE5">
        <w:rPr>
          <w:rFonts w:ascii="Verdana" w:hAnsi="Verdana" w:cs="Times New Roman"/>
          <w:i/>
          <w:iCs/>
          <w:color w:val="000000"/>
          <w:sz w:val="20"/>
          <w:szCs w:val="20"/>
        </w:rPr>
        <w:t>Pedagogy, symbolic control and identity. theory, research, critique</w:t>
      </w:r>
      <w:r w:rsidRPr="00AA1EE5">
        <w:rPr>
          <w:rFonts w:ascii="Verdana" w:hAnsi="Verdana" w:cs="Times New Roman"/>
          <w:color w:val="000000"/>
          <w:sz w:val="20"/>
          <w:szCs w:val="20"/>
        </w:rPr>
        <w:t>. London: Taylor &amp; Francis.</w:t>
      </w:r>
      <w:r w:rsidRPr="00AA1EE5">
        <w:rPr>
          <w:rFonts w:ascii="Verdana" w:hAnsi="Verdana" w:cs="Times New Roman"/>
          <w:color w:val="000000"/>
          <w:sz w:val="20"/>
          <w:szCs w:val="20"/>
        </w:rPr>
        <w:br/>
      </w:r>
      <w:r w:rsidRPr="00AA1EE5">
        <w:rPr>
          <w:rFonts w:ascii="Verdana" w:hAnsi="Verdana" w:cs="Times New Roman"/>
          <w:color w:val="000000"/>
          <w:sz w:val="20"/>
          <w:szCs w:val="20"/>
        </w:rPr>
        <w:br/>
        <w:t>Brown, D. J. (1990). </w:t>
      </w:r>
      <w:r w:rsidRPr="00AA1EE5">
        <w:rPr>
          <w:rFonts w:ascii="Verdana" w:hAnsi="Verdana" w:cs="Times New Roman"/>
          <w:i/>
          <w:iCs/>
          <w:color w:val="000000"/>
          <w:sz w:val="20"/>
          <w:szCs w:val="20"/>
        </w:rPr>
        <w:t>Decentralization and school-based management.</w:t>
      </w:r>
      <w:r w:rsidRPr="00AA1EE5">
        <w:rPr>
          <w:rFonts w:ascii="Verdana" w:hAnsi="Verdana" w:cs="Times New Roman"/>
          <w:color w:val="000000"/>
          <w:sz w:val="20"/>
          <w:szCs w:val="20"/>
        </w:rPr>
        <w:t> London: The Falmer Press. </w:t>
      </w:r>
      <w:r w:rsidRPr="00AA1EE5">
        <w:rPr>
          <w:rFonts w:ascii="Verdana" w:hAnsi="Verdana" w:cs="Times New Roman"/>
          <w:color w:val="000000"/>
          <w:sz w:val="20"/>
          <w:szCs w:val="20"/>
        </w:rPr>
        <w:br/>
      </w:r>
      <w:r w:rsidRPr="00AA1EE5">
        <w:rPr>
          <w:rFonts w:ascii="Verdana" w:hAnsi="Verdana" w:cs="Times New Roman"/>
          <w:color w:val="000000"/>
          <w:sz w:val="20"/>
          <w:szCs w:val="20"/>
        </w:rPr>
        <w:br/>
        <w:t>Cristofoli, V. A. (1997). </w:t>
      </w:r>
      <w:r w:rsidRPr="00AA1EE5">
        <w:rPr>
          <w:rFonts w:ascii="Verdana" w:hAnsi="Verdana" w:cs="Times New Roman"/>
          <w:i/>
          <w:iCs/>
          <w:color w:val="000000"/>
          <w:sz w:val="20"/>
          <w:szCs w:val="20"/>
        </w:rPr>
        <w:t>Decentralised centralism? A comparison of the administrative structure of France and Norwegian education</w:t>
      </w:r>
      <w:r w:rsidRPr="00AA1EE5">
        <w:rPr>
          <w:rFonts w:ascii="Verdana" w:hAnsi="Verdana" w:cs="Times New Roman"/>
          <w:color w:val="000000"/>
          <w:sz w:val="20"/>
          <w:szCs w:val="20"/>
        </w:rPr>
        <w:t>. Thesis. University of Oslo, Department of Educational Research. </w:t>
      </w:r>
      <w:r w:rsidRPr="00AA1EE5">
        <w:rPr>
          <w:rFonts w:ascii="Verdana" w:hAnsi="Verdana" w:cs="Times New Roman"/>
          <w:color w:val="000000"/>
          <w:sz w:val="20"/>
          <w:szCs w:val="20"/>
        </w:rPr>
        <w:br/>
      </w:r>
      <w:r w:rsidRPr="00AA1EE5">
        <w:rPr>
          <w:rFonts w:ascii="Verdana" w:hAnsi="Verdana" w:cs="Times New Roman"/>
          <w:color w:val="000000"/>
          <w:sz w:val="20"/>
          <w:szCs w:val="20"/>
        </w:rPr>
        <w:br/>
        <w:t>Cuban, L. (1988). </w:t>
      </w:r>
      <w:r w:rsidRPr="00AA1EE5">
        <w:rPr>
          <w:rFonts w:ascii="Verdana" w:hAnsi="Verdana" w:cs="Times New Roman"/>
          <w:i/>
          <w:iCs/>
          <w:color w:val="000000"/>
          <w:sz w:val="20"/>
          <w:szCs w:val="20"/>
        </w:rPr>
        <w:t>The managerial imperative and the practice of leadership in schools</w:t>
      </w:r>
      <w:r w:rsidRPr="00AA1EE5">
        <w:rPr>
          <w:rFonts w:ascii="Verdana" w:hAnsi="Verdana" w:cs="Times New Roman"/>
          <w:color w:val="000000"/>
          <w:sz w:val="20"/>
          <w:szCs w:val="20"/>
        </w:rPr>
        <w:t>. Albany: State University of New York Press. </w:t>
      </w:r>
      <w:r w:rsidRPr="00AA1EE5">
        <w:rPr>
          <w:rFonts w:ascii="Verdana" w:hAnsi="Verdana" w:cs="Times New Roman"/>
          <w:color w:val="000000"/>
          <w:sz w:val="20"/>
          <w:szCs w:val="20"/>
        </w:rPr>
        <w:br/>
      </w:r>
      <w:r w:rsidRPr="00AA1EE5">
        <w:rPr>
          <w:rFonts w:ascii="Verdana" w:hAnsi="Verdana" w:cs="Times New Roman"/>
          <w:color w:val="000000"/>
          <w:sz w:val="20"/>
          <w:szCs w:val="20"/>
        </w:rPr>
        <w:br/>
        <w:t>Dale, R. (1992). </w:t>
      </w:r>
      <w:r w:rsidRPr="00AA1EE5">
        <w:rPr>
          <w:rFonts w:ascii="Verdana" w:hAnsi="Verdana" w:cs="Times New Roman"/>
          <w:i/>
          <w:iCs/>
          <w:color w:val="000000"/>
          <w:sz w:val="20"/>
          <w:szCs w:val="20"/>
        </w:rPr>
        <w:t>National reform, economic crisis and  "new rights"  theory:  A  New Zealand perspective.</w:t>
      </w:r>
      <w:r w:rsidRPr="00AA1EE5">
        <w:rPr>
          <w:rFonts w:ascii="Verdana" w:hAnsi="Verdana" w:cs="Times New Roman"/>
          <w:color w:val="000000"/>
          <w:sz w:val="20"/>
          <w:szCs w:val="20"/>
        </w:rPr>
        <w:t> Paper presented to the American Educational Research Assocation annual meeting, San Francisco, April. </w:t>
      </w:r>
      <w:r w:rsidRPr="00AA1EE5">
        <w:rPr>
          <w:rFonts w:ascii="Verdana" w:hAnsi="Verdana" w:cs="Times New Roman"/>
          <w:color w:val="000000"/>
          <w:sz w:val="20"/>
          <w:szCs w:val="20"/>
        </w:rPr>
        <w:br/>
      </w:r>
      <w:r w:rsidRPr="00AA1EE5">
        <w:rPr>
          <w:rFonts w:ascii="Verdana" w:hAnsi="Verdana" w:cs="Times New Roman"/>
          <w:color w:val="000000"/>
          <w:sz w:val="20"/>
          <w:szCs w:val="20"/>
        </w:rPr>
        <w:br/>
        <w:t>Drucker, P. F. (1954). </w:t>
      </w:r>
      <w:r w:rsidRPr="00AA1EE5">
        <w:rPr>
          <w:rFonts w:ascii="Verdana" w:hAnsi="Verdana" w:cs="Times New Roman"/>
          <w:i/>
          <w:iCs/>
          <w:color w:val="000000"/>
          <w:sz w:val="20"/>
          <w:szCs w:val="20"/>
        </w:rPr>
        <w:t>The practice of management.</w:t>
      </w:r>
      <w:r w:rsidRPr="00AA1EE5">
        <w:rPr>
          <w:rFonts w:ascii="Verdana" w:hAnsi="Verdana" w:cs="Times New Roman"/>
          <w:color w:val="000000"/>
          <w:sz w:val="20"/>
          <w:szCs w:val="20"/>
        </w:rPr>
        <w:t> New York: Harper </w:t>
      </w:r>
      <w:r w:rsidRPr="00AA1EE5">
        <w:rPr>
          <w:rFonts w:ascii="Verdana" w:hAnsi="Verdana" w:cs="Times New Roman"/>
          <w:color w:val="000000"/>
          <w:sz w:val="20"/>
          <w:szCs w:val="20"/>
        </w:rPr>
        <w:br/>
      </w:r>
      <w:r w:rsidRPr="00AA1EE5">
        <w:rPr>
          <w:rFonts w:ascii="Verdana" w:hAnsi="Verdana" w:cs="Times New Roman"/>
          <w:color w:val="000000"/>
          <w:sz w:val="20"/>
          <w:szCs w:val="20"/>
        </w:rPr>
        <w:br/>
        <w:t>Drucker, P. F. (1964). </w:t>
      </w:r>
      <w:r w:rsidRPr="00AA1EE5">
        <w:rPr>
          <w:rFonts w:ascii="Verdana" w:hAnsi="Verdana" w:cs="Times New Roman"/>
          <w:i/>
          <w:iCs/>
          <w:color w:val="000000"/>
          <w:sz w:val="20"/>
          <w:szCs w:val="20"/>
        </w:rPr>
        <w:t>Management for results: Economic tasks and risk-taking decisions.</w:t>
      </w:r>
      <w:r w:rsidRPr="00AA1EE5">
        <w:rPr>
          <w:rFonts w:ascii="Verdana" w:hAnsi="Verdana" w:cs="Times New Roman"/>
          <w:color w:val="000000"/>
          <w:sz w:val="20"/>
          <w:szCs w:val="20"/>
        </w:rPr>
        <w:t> London: Heinemann. </w:t>
      </w:r>
      <w:r w:rsidRPr="00AA1EE5">
        <w:rPr>
          <w:rFonts w:ascii="Verdana" w:hAnsi="Verdana" w:cs="Times New Roman"/>
          <w:color w:val="000000"/>
          <w:sz w:val="20"/>
          <w:szCs w:val="20"/>
        </w:rPr>
        <w:br/>
      </w:r>
      <w:r w:rsidRPr="00AA1EE5">
        <w:rPr>
          <w:rFonts w:ascii="Verdana" w:hAnsi="Verdana" w:cs="Times New Roman"/>
          <w:color w:val="000000"/>
          <w:sz w:val="20"/>
          <w:szCs w:val="20"/>
        </w:rPr>
        <w:br/>
        <w:t>Drucker, P. F. (1977). </w:t>
      </w:r>
      <w:r w:rsidRPr="00AA1EE5">
        <w:rPr>
          <w:rFonts w:ascii="Verdana" w:hAnsi="Verdana" w:cs="Times New Roman"/>
          <w:i/>
          <w:iCs/>
          <w:color w:val="000000"/>
          <w:sz w:val="20"/>
          <w:szCs w:val="20"/>
        </w:rPr>
        <w:t>Management</w:t>
      </w:r>
      <w:r w:rsidRPr="00AA1EE5">
        <w:rPr>
          <w:rFonts w:ascii="Verdana" w:hAnsi="Verdana" w:cs="Times New Roman"/>
          <w:color w:val="000000"/>
          <w:sz w:val="20"/>
          <w:szCs w:val="20"/>
        </w:rPr>
        <w:t>. New York: </w:t>
      </w:r>
      <w:r w:rsidRPr="00AA1EE5">
        <w:rPr>
          <w:rFonts w:ascii="Verdana" w:hAnsi="Verdana" w:cs="Times New Roman"/>
          <w:color w:val="000000"/>
          <w:sz w:val="20"/>
          <w:szCs w:val="20"/>
        </w:rPr>
        <w:br/>
        <w:t>FAD. (1986). </w:t>
      </w:r>
      <w:r w:rsidRPr="00AA1EE5">
        <w:rPr>
          <w:rFonts w:ascii="Verdana" w:hAnsi="Verdana" w:cs="Times New Roman"/>
          <w:i/>
          <w:iCs/>
          <w:color w:val="000000"/>
          <w:sz w:val="20"/>
          <w:szCs w:val="20"/>
        </w:rPr>
        <w:t>Familie og forbruker departementet</w:t>
      </w:r>
      <w:r w:rsidRPr="00AA1EE5">
        <w:rPr>
          <w:rFonts w:ascii="Verdana" w:hAnsi="Verdana" w:cs="Times New Roman"/>
          <w:color w:val="000000"/>
          <w:sz w:val="20"/>
          <w:szCs w:val="20"/>
        </w:rPr>
        <w:t>. Program for modernisering av statlig forvaltning. Oslo. </w:t>
      </w:r>
      <w:r w:rsidRPr="00AA1EE5">
        <w:rPr>
          <w:rFonts w:ascii="Verdana" w:hAnsi="Verdana" w:cs="Times New Roman"/>
          <w:color w:val="000000"/>
          <w:sz w:val="20"/>
          <w:szCs w:val="20"/>
        </w:rPr>
        <w:br/>
      </w:r>
      <w:r w:rsidRPr="00AA1EE5">
        <w:rPr>
          <w:rFonts w:ascii="Verdana" w:hAnsi="Verdana" w:cs="Times New Roman"/>
          <w:color w:val="000000"/>
          <w:sz w:val="20"/>
          <w:szCs w:val="20"/>
        </w:rPr>
        <w:br/>
        <w:t>Fullan, M. (1991). </w:t>
      </w:r>
      <w:r w:rsidRPr="00AA1EE5">
        <w:rPr>
          <w:rFonts w:ascii="Verdana" w:hAnsi="Verdana" w:cs="Times New Roman"/>
          <w:i/>
          <w:iCs/>
          <w:color w:val="000000"/>
          <w:sz w:val="20"/>
          <w:szCs w:val="20"/>
        </w:rPr>
        <w:t>The new meaning of educational change</w:t>
      </w:r>
      <w:r w:rsidRPr="00AA1EE5">
        <w:rPr>
          <w:rFonts w:ascii="Verdana" w:hAnsi="Verdana" w:cs="Times New Roman"/>
          <w:color w:val="000000"/>
          <w:sz w:val="20"/>
          <w:szCs w:val="20"/>
        </w:rPr>
        <w:t>. London: Cassell. </w:t>
      </w:r>
      <w:r w:rsidRPr="00AA1EE5">
        <w:rPr>
          <w:rFonts w:ascii="Verdana" w:hAnsi="Verdana" w:cs="Times New Roman"/>
          <w:color w:val="000000"/>
          <w:sz w:val="20"/>
          <w:szCs w:val="20"/>
        </w:rPr>
        <w:br/>
      </w:r>
      <w:r w:rsidRPr="00AA1EE5">
        <w:rPr>
          <w:rFonts w:ascii="Verdana" w:hAnsi="Verdana" w:cs="Times New Roman"/>
          <w:color w:val="000000"/>
          <w:sz w:val="20"/>
          <w:szCs w:val="20"/>
        </w:rPr>
        <w:br/>
        <w:t>Galtung, J. (1974). </w:t>
      </w:r>
      <w:r w:rsidRPr="00AA1EE5">
        <w:rPr>
          <w:rFonts w:ascii="Verdana" w:hAnsi="Verdana" w:cs="Times New Roman"/>
          <w:i/>
          <w:iCs/>
          <w:color w:val="000000"/>
          <w:sz w:val="20"/>
          <w:szCs w:val="20"/>
        </w:rPr>
        <w:t>Fred, vold and imperialisme</w:t>
      </w:r>
      <w:r w:rsidRPr="00AA1EE5">
        <w:rPr>
          <w:rFonts w:ascii="Verdana" w:hAnsi="Verdana" w:cs="Times New Roman"/>
          <w:color w:val="000000"/>
          <w:sz w:val="20"/>
          <w:szCs w:val="20"/>
        </w:rPr>
        <w:t>. Oslo: Dreyers forlag. </w:t>
      </w:r>
      <w:r w:rsidRPr="00AA1EE5">
        <w:rPr>
          <w:rFonts w:ascii="Verdana" w:hAnsi="Verdana" w:cs="Times New Roman"/>
          <w:color w:val="000000"/>
          <w:sz w:val="20"/>
          <w:szCs w:val="20"/>
        </w:rPr>
        <w:br/>
      </w:r>
      <w:r w:rsidRPr="00AA1EE5">
        <w:rPr>
          <w:rFonts w:ascii="Verdana" w:hAnsi="Verdana" w:cs="Times New Roman"/>
          <w:color w:val="000000"/>
          <w:sz w:val="20"/>
          <w:szCs w:val="20"/>
        </w:rPr>
        <w:br/>
        <w:t>Granheim, M., &amp; Lundgren, U. P. (1990). </w:t>
      </w:r>
      <w:r w:rsidRPr="00AA1EE5">
        <w:rPr>
          <w:rFonts w:ascii="Verdana" w:hAnsi="Verdana" w:cs="Times New Roman"/>
          <w:i/>
          <w:iCs/>
          <w:color w:val="000000"/>
          <w:sz w:val="20"/>
          <w:szCs w:val="20"/>
        </w:rPr>
        <w:t>Målstyring og evaluering i norsk skole. Sluttrapport fra EMIL-prosjektet</w:t>
      </w:r>
      <w:r w:rsidRPr="00AA1EE5">
        <w:rPr>
          <w:rFonts w:ascii="Verdana" w:hAnsi="Verdana" w:cs="Times New Roman"/>
          <w:color w:val="000000"/>
          <w:sz w:val="20"/>
          <w:szCs w:val="20"/>
        </w:rPr>
        <w:t>. LOS-notat nr. 7. The Ministry of Education. </w:t>
      </w:r>
      <w:r w:rsidRPr="00AA1EE5">
        <w:rPr>
          <w:rFonts w:ascii="Verdana" w:hAnsi="Verdana" w:cs="Times New Roman"/>
          <w:color w:val="000000"/>
          <w:sz w:val="20"/>
          <w:szCs w:val="20"/>
        </w:rPr>
        <w:br/>
      </w:r>
      <w:r w:rsidRPr="00AA1EE5">
        <w:rPr>
          <w:rFonts w:ascii="Verdana" w:hAnsi="Verdana" w:cs="Times New Roman"/>
          <w:color w:val="000000"/>
          <w:sz w:val="20"/>
          <w:szCs w:val="20"/>
        </w:rPr>
        <w:br/>
        <w:t>Government of British Columbia. (1989). </w:t>
      </w:r>
      <w:r w:rsidRPr="00AA1EE5">
        <w:rPr>
          <w:rFonts w:ascii="Verdana" w:hAnsi="Verdana" w:cs="Times New Roman"/>
          <w:i/>
          <w:iCs/>
          <w:color w:val="000000"/>
          <w:sz w:val="20"/>
          <w:szCs w:val="20"/>
        </w:rPr>
        <w:t>Independent school act</w:t>
      </w:r>
      <w:r w:rsidRPr="00AA1EE5">
        <w:rPr>
          <w:rFonts w:ascii="Verdana" w:hAnsi="Verdana" w:cs="Times New Roman"/>
          <w:color w:val="000000"/>
          <w:sz w:val="20"/>
          <w:szCs w:val="20"/>
        </w:rPr>
        <w:t>. Statutes of British Columbia. </w:t>
      </w:r>
      <w:r w:rsidRPr="00AA1EE5">
        <w:rPr>
          <w:rFonts w:ascii="Verdana" w:hAnsi="Verdana" w:cs="Times New Roman"/>
          <w:color w:val="000000"/>
          <w:sz w:val="20"/>
          <w:szCs w:val="20"/>
        </w:rPr>
        <w:br/>
      </w:r>
      <w:r w:rsidRPr="00AA1EE5">
        <w:rPr>
          <w:rFonts w:ascii="Verdana" w:hAnsi="Verdana" w:cs="Times New Roman"/>
          <w:color w:val="000000"/>
          <w:sz w:val="20"/>
          <w:szCs w:val="20"/>
        </w:rPr>
        <w:br/>
        <w:t>Government of British Columbia. (1989). </w:t>
      </w:r>
      <w:r w:rsidRPr="00AA1EE5">
        <w:rPr>
          <w:rFonts w:ascii="Verdana" w:hAnsi="Verdana" w:cs="Times New Roman"/>
          <w:i/>
          <w:iCs/>
          <w:color w:val="000000"/>
          <w:sz w:val="20"/>
          <w:szCs w:val="20"/>
        </w:rPr>
        <w:t>School act</w:t>
      </w:r>
      <w:r w:rsidRPr="00AA1EE5">
        <w:rPr>
          <w:rFonts w:ascii="Verdana" w:hAnsi="Verdana" w:cs="Times New Roman"/>
          <w:color w:val="000000"/>
          <w:sz w:val="20"/>
          <w:szCs w:val="20"/>
        </w:rPr>
        <w:t>. Statutes of British Columbia. </w:t>
      </w:r>
      <w:r w:rsidRPr="00AA1EE5">
        <w:rPr>
          <w:rFonts w:ascii="Verdana" w:hAnsi="Verdana" w:cs="Times New Roman"/>
          <w:color w:val="000000"/>
          <w:sz w:val="20"/>
          <w:szCs w:val="20"/>
        </w:rPr>
        <w:br/>
      </w:r>
      <w:r w:rsidRPr="00AA1EE5">
        <w:rPr>
          <w:rFonts w:ascii="Verdana" w:hAnsi="Verdana" w:cs="Times New Roman"/>
          <w:color w:val="000000"/>
          <w:sz w:val="20"/>
          <w:szCs w:val="20"/>
        </w:rPr>
        <w:br/>
        <w:t>Government of British Columbia. (1987). </w:t>
      </w:r>
      <w:r w:rsidRPr="00AA1EE5">
        <w:rPr>
          <w:rFonts w:ascii="Verdana" w:hAnsi="Verdana" w:cs="Times New Roman"/>
          <w:i/>
          <w:iCs/>
          <w:color w:val="000000"/>
          <w:sz w:val="20"/>
          <w:szCs w:val="20"/>
        </w:rPr>
        <w:t>Industrial relation reform act</w:t>
      </w:r>
      <w:r w:rsidRPr="00AA1EE5">
        <w:rPr>
          <w:rFonts w:ascii="Verdana" w:hAnsi="Verdana" w:cs="Times New Roman"/>
          <w:color w:val="000000"/>
          <w:sz w:val="20"/>
          <w:szCs w:val="20"/>
        </w:rPr>
        <w:t>. Statutes of British Columbia. </w:t>
      </w:r>
      <w:r w:rsidRPr="00AA1EE5">
        <w:rPr>
          <w:rFonts w:ascii="Verdana" w:hAnsi="Verdana" w:cs="Times New Roman"/>
          <w:color w:val="000000"/>
          <w:sz w:val="20"/>
          <w:szCs w:val="20"/>
        </w:rPr>
        <w:br/>
      </w:r>
      <w:r w:rsidRPr="00AA1EE5">
        <w:rPr>
          <w:rFonts w:ascii="Verdana" w:hAnsi="Verdana" w:cs="Times New Roman"/>
          <w:color w:val="000000"/>
          <w:sz w:val="20"/>
          <w:szCs w:val="20"/>
        </w:rPr>
        <w:br/>
        <w:t>Government of British Columbia (1994). </w:t>
      </w:r>
      <w:r w:rsidRPr="00AA1EE5">
        <w:rPr>
          <w:rFonts w:ascii="Verdana" w:hAnsi="Verdana" w:cs="Times New Roman"/>
          <w:i/>
          <w:iCs/>
          <w:color w:val="000000"/>
          <w:sz w:val="20"/>
          <w:szCs w:val="20"/>
        </w:rPr>
        <w:t>The kindergarten to grade 12 education plan.</w:t>
      </w:r>
    </w:p>
    <w:p w14:paraId="7AD4D797"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rPr>
        <w:t>Government of British Columbia. (1988). </w:t>
      </w:r>
      <w:r w:rsidRPr="00AA1EE5">
        <w:rPr>
          <w:rFonts w:ascii="Verdana" w:hAnsi="Verdana" w:cs="Times New Roman"/>
          <w:i/>
          <w:iCs/>
          <w:color w:val="000000"/>
          <w:sz w:val="20"/>
          <w:szCs w:val="20"/>
        </w:rPr>
        <w:t>Sullivan commission</w:t>
      </w:r>
      <w:r w:rsidRPr="00AA1EE5">
        <w:rPr>
          <w:rFonts w:ascii="Verdana" w:hAnsi="Verdana" w:cs="Times New Roman"/>
          <w:color w:val="000000"/>
          <w:sz w:val="20"/>
          <w:szCs w:val="20"/>
        </w:rPr>
        <w:t> report. </w:t>
      </w:r>
      <w:r w:rsidRPr="00AA1EE5">
        <w:rPr>
          <w:rFonts w:ascii="Verdana" w:hAnsi="Verdana" w:cs="Times New Roman"/>
          <w:color w:val="000000"/>
          <w:sz w:val="20"/>
          <w:szCs w:val="20"/>
        </w:rPr>
        <w:br/>
      </w:r>
      <w:r w:rsidRPr="00AA1EE5">
        <w:rPr>
          <w:rFonts w:ascii="Verdana" w:hAnsi="Verdana" w:cs="Times New Roman"/>
          <w:color w:val="000000"/>
          <w:sz w:val="20"/>
          <w:szCs w:val="20"/>
        </w:rPr>
        <w:br/>
        <w:t>Government of British Columbia. (1987). </w:t>
      </w:r>
      <w:r w:rsidRPr="00AA1EE5">
        <w:rPr>
          <w:rFonts w:ascii="Verdana" w:hAnsi="Verdana" w:cs="Times New Roman"/>
          <w:i/>
          <w:iCs/>
          <w:color w:val="000000"/>
          <w:sz w:val="20"/>
          <w:szCs w:val="20"/>
        </w:rPr>
        <w:t>Teaching profession act</w:t>
      </w:r>
      <w:r w:rsidRPr="00AA1EE5">
        <w:rPr>
          <w:rFonts w:ascii="Verdana" w:hAnsi="Verdana" w:cs="Times New Roman"/>
          <w:color w:val="000000"/>
          <w:sz w:val="20"/>
          <w:szCs w:val="20"/>
        </w:rPr>
        <w:t>. Statutes of British Columbia 1987-1991. </w:t>
      </w:r>
      <w:r w:rsidRPr="00AA1EE5">
        <w:rPr>
          <w:rFonts w:ascii="Verdana" w:hAnsi="Verdana" w:cs="Times New Roman"/>
          <w:color w:val="000000"/>
          <w:sz w:val="20"/>
          <w:szCs w:val="20"/>
        </w:rPr>
        <w:br/>
      </w:r>
      <w:r w:rsidRPr="00AA1EE5">
        <w:rPr>
          <w:rFonts w:ascii="Verdana" w:hAnsi="Verdana" w:cs="Times New Roman"/>
          <w:color w:val="000000"/>
          <w:sz w:val="20"/>
          <w:szCs w:val="20"/>
        </w:rPr>
        <w:br/>
        <w:t>Haavelsrud, M. (1997). </w:t>
      </w:r>
      <w:r w:rsidRPr="00AA1EE5">
        <w:rPr>
          <w:rFonts w:ascii="Verdana" w:hAnsi="Verdana" w:cs="Times New Roman"/>
          <w:i/>
          <w:iCs/>
          <w:color w:val="000000"/>
          <w:sz w:val="20"/>
          <w:szCs w:val="20"/>
        </w:rPr>
        <w:t>Perspektiv i utdanningssosiologi</w:t>
      </w:r>
      <w:r w:rsidRPr="00AA1EE5">
        <w:rPr>
          <w:rFonts w:ascii="Verdana" w:hAnsi="Verdana" w:cs="Times New Roman"/>
          <w:color w:val="000000"/>
          <w:sz w:val="20"/>
          <w:szCs w:val="20"/>
        </w:rPr>
        <w:t>. Tromsø: Arena forlag. </w:t>
      </w:r>
      <w:r w:rsidRPr="00AA1EE5">
        <w:rPr>
          <w:rFonts w:ascii="Verdana" w:hAnsi="Verdana" w:cs="Times New Roman"/>
          <w:color w:val="000000"/>
          <w:sz w:val="20"/>
          <w:szCs w:val="20"/>
        </w:rPr>
        <w:br/>
      </w:r>
      <w:r w:rsidRPr="00AA1EE5">
        <w:rPr>
          <w:rFonts w:ascii="Verdana" w:hAnsi="Verdana" w:cs="Times New Roman"/>
          <w:color w:val="000000"/>
          <w:sz w:val="20"/>
          <w:szCs w:val="20"/>
        </w:rPr>
        <w:br/>
        <w:t>Habermas, J. (1976). </w:t>
      </w:r>
      <w:r w:rsidRPr="00AA1EE5">
        <w:rPr>
          <w:rFonts w:ascii="Verdana" w:hAnsi="Verdana" w:cs="Times New Roman"/>
          <w:i/>
          <w:iCs/>
          <w:color w:val="000000"/>
          <w:sz w:val="20"/>
          <w:szCs w:val="20"/>
        </w:rPr>
        <w:t>Legitimation crisis</w:t>
      </w:r>
      <w:r w:rsidRPr="00AA1EE5">
        <w:rPr>
          <w:rFonts w:ascii="Verdana" w:hAnsi="Verdana" w:cs="Times New Roman"/>
          <w:color w:val="000000"/>
          <w:sz w:val="20"/>
          <w:szCs w:val="20"/>
        </w:rPr>
        <w:t>. London: Heinemann. </w:t>
      </w:r>
      <w:r w:rsidRPr="00AA1EE5">
        <w:rPr>
          <w:rFonts w:ascii="Verdana" w:hAnsi="Verdana" w:cs="Times New Roman"/>
          <w:color w:val="000000"/>
          <w:sz w:val="20"/>
          <w:szCs w:val="20"/>
        </w:rPr>
        <w:br/>
      </w:r>
      <w:r w:rsidRPr="00AA1EE5">
        <w:rPr>
          <w:rFonts w:ascii="Verdana" w:hAnsi="Verdana" w:cs="Times New Roman"/>
          <w:color w:val="000000"/>
          <w:sz w:val="20"/>
          <w:szCs w:val="20"/>
        </w:rPr>
        <w:br/>
        <w:t>Hodgson, E. (1987). </w:t>
      </w:r>
      <w:r w:rsidRPr="00AA1EE5">
        <w:rPr>
          <w:rFonts w:ascii="Verdana" w:hAnsi="Verdana" w:cs="Times New Roman"/>
          <w:i/>
          <w:iCs/>
          <w:color w:val="000000"/>
          <w:sz w:val="20"/>
          <w:szCs w:val="20"/>
        </w:rPr>
        <w:t>Federal involvement in Canadian education</w:t>
      </w:r>
      <w:r w:rsidRPr="00AA1EE5">
        <w:rPr>
          <w:rFonts w:ascii="Verdana" w:hAnsi="Verdana" w:cs="Times New Roman"/>
          <w:color w:val="000000"/>
          <w:sz w:val="20"/>
          <w:szCs w:val="20"/>
        </w:rPr>
        <w:t>. Toronto: Canadian Education Association. </w:t>
      </w:r>
      <w:r w:rsidRPr="00AA1EE5">
        <w:rPr>
          <w:rFonts w:ascii="Verdana" w:hAnsi="Verdana" w:cs="Times New Roman"/>
          <w:color w:val="000000"/>
          <w:sz w:val="20"/>
          <w:szCs w:val="20"/>
        </w:rPr>
        <w:br/>
      </w:r>
      <w:r w:rsidRPr="00AA1EE5">
        <w:rPr>
          <w:rFonts w:ascii="Verdana" w:hAnsi="Verdana" w:cs="Times New Roman"/>
          <w:color w:val="000000"/>
          <w:sz w:val="20"/>
          <w:szCs w:val="20"/>
        </w:rPr>
        <w:br/>
        <w:t>Karlsen, G. E. (1993). </w:t>
      </w:r>
      <w:r w:rsidRPr="00AA1EE5">
        <w:rPr>
          <w:rFonts w:ascii="Verdana" w:hAnsi="Verdana" w:cs="Times New Roman"/>
          <w:i/>
          <w:iCs/>
          <w:color w:val="000000"/>
          <w:sz w:val="20"/>
          <w:szCs w:val="20"/>
        </w:rPr>
        <w:t>Desentralisert skoleutvikling. En utdanningspoliisk studie av norsk grunnskole med vekt på70-og 80-talle</w:t>
      </w:r>
      <w:r w:rsidRPr="00AA1EE5">
        <w:rPr>
          <w:rFonts w:ascii="Verdana" w:hAnsi="Verdana" w:cs="Times New Roman"/>
          <w:color w:val="000000"/>
          <w:sz w:val="20"/>
          <w:szCs w:val="20"/>
        </w:rPr>
        <w:t>. Oslo: Ad Notam Gyldendal </w:t>
      </w:r>
      <w:r w:rsidRPr="00AA1EE5">
        <w:rPr>
          <w:rFonts w:ascii="Verdana" w:hAnsi="Verdana" w:cs="Times New Roman"/>
          <w:color w:val="000000"/>
          <w:sz w:val="20"/>
          <w:szCs w:val="20"/>
        </w:rPr>
        <w:br/>
      </w:r>
      <w:r w:rsidRPr="00AA1EE5">
        <w:rPr>
          <w:rFonts w:ascii="Verdana" w:hAnsi="Verdana" w:cs="Times New Roman"/>
          <w:color w:val="000000"/>
          <w:sz w:val="20"/>
          <w:szCs w:val="20"/>
        </w:rPr>
        <w:br/>
        <w:t>Kelsey, G. (1992). Change and the administration of education: The Canadian experience. </w:t>
      </w:r>
      <w:r w:rsidRPr="00AA1EE5">
        <w:rPr>
          <w:rFonts w:ascii="Verdana" w:hAnsi="Verdana" w:cs="Times New Roman"/>
          <w:i/>
          <w:iCs/>
          <w:color w:val="000000"/>
          <w:sz w:val="20"/>
          <w:szCs w:val="20"/>
        </w:rPr>
        <w:t>Paper presented to Icelandic Educators</w:t>
      </w:r>
      <w:r w:rsidRPr="00AA1EE5">
        <w:rPr>
          <w:rFonts w:ascii="Verdana" w:hAnsi="Verdana" w:cs="Times New Roman"/>
          <w:color w:val="000000"/>
          <w:sz w:val="20"/>
          <w:szCs w:val="20"/>
        </w:rPr>
        <w:t>. Reykjavik. </w:t>
      </w:r>
      <w:r w:rsidRPr="00AA1EE5">
        <w:rPr>
          <w:rFonts w:ascii="Verdana" w:hAnsi="Verdana" w:cs="Times New Roman"/>
          <w:color w:val="000000"/>
          <w:sz w:val="20"/>
          <w:szCs w:val="20"/>
        </w:rPr>
        <w:br/>
      </w:r>
      <w:r w:rsidRPr="00AA1EE5">
        <w:rPr>
          <w:rFonts w:ascii="Verdana" w:hAnsi="Verdana" w:cs="Times New Roman"/>
          <w:color w:val="000000"/>
          <w:sz w:val="20"/>
          <w:szCs w:val="20"/>
        </w:rPr>
        <w:br/>
        <w:t>Kelsey, G., Lupini, D., &amp; Clinton, A. (1995). The effects of legislative change on the work of British Columbia's school superintendents. </w:t>
      </w:r>
      <w:r w:rsidRPr="00AA1EE5">
        <w:rPr>
          <w:rFonts w:ascii="Verdana" w:hAnsi="Verdana" w:cs="Times New Roman"/>
          <w:i/>
          <w:iCs/>
          <w:color w:val="000000"/>
          <w:sz w:val="20"/>
          <w:szCs w:val="20"/>
        </w:rPr>
        <w:t>A Report Presented to the Annual Meeting of the British Columbia School Superintendents' Association</w:t>
      </w:r>
      <w:r w:rsidRPr="00AA1EE5">
        <w:rPr>
          <w:rFonts w:ascii="Verdana" w:hAnsi="Verdana" w:cs="Times New Roman"/>
          <w:color w:val="000000"/>
          <w:sz w:val="20"/>
          <w:szCs w:val="20"/>
        </w:rPr>
        <w:t>. Richmond. </w:t>
      </w:r>
      <w:r w:rsidRPr="00AA1EE5">
        <w:rPr>
          <w:rFonts w:ascii="Verdana" w:hAnsi="Verdana" w:cs="Times New Roman"/>
          <w:color w:val="000000"/>
          <w:sz w:val="20"/>
          <w:szCs w:val="20"/>
        </w:rPr>
        <w:br/>
      </w:r>
      <w:r w:rsidRPr="00AA1EE5">
        <w:rPr>
          <w:rFonts w:ascii="Verdana" w:hAnsi="Verdana" w:cs="Times New Roman"/>
          <w:color w:val="000000"/>
          <w:sz w:val="20"/>
          <w:szCs w:val="20"/>
        </w:rPr>
        <w:br/>
        <w:t>Kjøl, P. E., &amp; Telhaug, A. O. (1979). </w:t>
      </w:r>
      <w:r w:rsidRPr="00AA1EE5">
        <w:rPr>
          <w:rFonts w:ascii="Verdana" w:hAnsi="Verdana" w:cs="Times New Roman"/>
          <w:i/>
          <w:iCs/>
          <w:color w:val="000000"/>
          <w:sz w:val="20"/>
          <w:szCs w:val="20"/>
        </w:rPr>
        <w:t>Norsk skolepolitikk i etterkrigstida. Skole- og utdanningspolitikk i partiprogrammene fra 1945 til 1977</w:t>
      </w:r>
      <w:r w:rsidRPr="00AA1EE5">
        <w:rPr>
          <w:rFonts w:ascii="Verdana" w:hAnsi="Verdana" w:cs="Times New Roman"/>
          <w:color w:val="000000"/>
          <w:sz w:val="20"/>
          <w:szCs w:val="20"/>
        </w:rPr>
        <w:t>. Oslo: Universitetsforlaget. </w:t>
      </w:r>
      <w:r w:rsidRPr="00AA1EE5">
        <w:rPr>
          <w:rFonts w:ascii="Verdana" w:hAnsi="Verdana" w:cs="Times New Roman"/>
          <w:color w:val="000000"/>
          <w:sz w:val="20"/>
          <w:szCs w:val="20"/>
        </w:rPr>
        <w:br/>
      </w:r>
      <w:r w:rsidRPr="00AA1EE5">
        <w:rPr>
          <w:rFonts w:ascii="Verdana" w:hAnsi="Verdana" w:cs="Times New Roman"/>
          <w:color w:val="000000"/>
          <w:sz w:val="20"/>
          <w:szCs w:val="20"/>
        </w:rPr>
        <w:br/>
        <w:t>Lane, J. E. (1984). Decentraliseringsbegreppets relevans fsr skolvSsendet i en decentraliserad skole. Wennås, O. (red.). </w:t>
      </w:r>
      <w:r w:rsidRPr="00AA1EE5">
        <w:rPr>
          <w:rFonts w:ascii="Verdana" w:hAnsi="Verdana" w:cs="Times New Roman"/>
          <w:i/>
          <w:iCs/>
          <w:color w:val="000000"/>
          <w:sz w:val="20"/>
          <w:szCs w:val="20"/>
        </w:rPr>
        <w:t>En decentraliserad skola</w:t>
      </w:r>
      <w:r w:rsidRPr="00AA1EE5">
        <w:rPr>
          <w:rFonts w:ascii="Verdana" w:hAnsi="Verdana" w:cs="Times New Roman"/>
          <w:color w:val="000000"/>
          <w:sz w:val="20"/>
          <w:szCs w:val="20"/>
        </w:rPr>
        <w:t>. Stockholm: Skolöverstyrelsen, 71-92. </w:t>
      </w:r>
      <w:r w:rsidRPr="00AA1EE5">
        <w:rPr>
          <w:rFonts w:ascii="Verdana" w:hAnsi="Verdana" w:cs="Times New Roman"/>
          <w:color w:val="000000"/>
          <w:sz w:val="20"/>
          <w:szCs w:val="20"/>
        </w:rPr>
        <w:br/>
      </w:r>
      <w:r w:rsidRPr="00AA1EE5">
        <w:rPr>
          <w:rFonts w:ascii="Verdana" w:hAnsi="Verdana" w:cs="Times New Roman"/>
          <w:color w:val="000000"/>
          <w:sz w:val="20"/>
          <w:szCs w:val="20"/>
        </w:rPr>
        <w:br/>
        <w:t>Lauglo, J. (1995). Forms of decentralisation and their implications for education. </w:t>
      </w:r>
      <w:r w:rsidRPr="00AA1EE5">
        <w:rPr>
          <w:rFonts w:ascii="Verdana" w:hAnsi="Verdana" w:cs="Times New Roman"/>
          <w:i/>
          <w:iCs/>
          <w:color w:val="000000"/>
          <w:sz w:val="20"/>
          <w:szCs w:val="20"/>
        </w:rPr>
        <w:t>Comparative Education</w:t>
      </w:r>
      <w:r w:rsidRPr="00AA1EE5">
        <w:rPr>
          <w:rFonts w:ascii="Verdana" w:hAnsi="Verdana" w:cs="Times New Roman"/>
          <w:color w:val="000000"/>
          <w:sz w:val="20"/>
          <w:szCs w:val="20"/>
        </w:rPr>
        <w:t>, Vol. 31, no. 1, 5-29. </w:t>
      </w:r>
      <w:r w:rsidRPr="00AA1EE5">
        <w:rPr>
          <w:rFonts w:ascii="Verdana" w:hAnsi="Verdana" w:cs="Times New Roman"/>
          <w:color w:val="000000"/>
          <w:sz w:val="20"/>
          <w:szCs w:val="20"/>
        </w:rPr>
        <w:br/>
      </w:r>
      <w:r w:rsidRPr="00AA1EE5">
        <w:rPr>
          <w:rFonts w:ascii="Verdana" w:hAnsi="Verdana" w:cs="Times New Roman"/>
          <w:color w:val="000000"/>
          <w:sz w:val="20"/>
          <w:szCs w:val="20"/>
        </w:rPr>
        <w:br/>
        <w:t>Lauglo, J., &amp; McLean, M. (Eds.) (1985). </w:t>
      </w:r>
      <w:r w:rsidRPr="00AA1EE5">
        <w:rPr>
          <w:rFonts w:ascii="Verdana" w:hAnsi="Verdana" w:cs="Times New Roman"/>
          <w:i/>
          <w:iCs/>
          <w:color w:val="000000"/>
          <w:sz w:val="20"/>
          <w:szCs w:val="20"/>
        </w:rPr>
        <w:t>The control of education: International perspectives on the centralization-decentralization debate</w:t>
      </w:r>
      <w:r w:rsidRPr="00AA1EE5">
        <w:rPr>
          <w:rFonts w:ascii="Verdana" w:hAnsi="Verdana" w:cs="Times New Roman"/>
          <w:color w:val="000000"/>
          <w:sz w:val="20"/>
          <w:szCs w:val="20"/>
        </w:rPr>
        <w:t>. London: Heinemann Education Books. </w:t>
      </w:r>
      <w:r w:rsidRPr="00AA1EE5">
        <w:rPr>
          <w:rFonts w:ascii="Verdana" w:hAnsi="Verdana" w:cs="Times New Roman"/>
          <w:color w:val="000000"/>
          <w:sz w:val="20"/>
          <w:szCs w:val="20"/>
        </w:rPr>
        <w:br/>
      </w:r>
      <w:r w:rsidRPr="00AA1EE5">
        <w:rPr>
          <w:rFonts w:ascii="Verdana" w:hAnsi="Verdana" w:cs="Times New Roman"/>
          <w:color w:val="000000"/>
          <w:sz w:val="20"/>
          <w:szCs w:val="20"/>
        </w:rPr>
        <w:br/>
        <w:t>Lawton, D. (1992). </w:t>
      </w:r>
      <w:r w:rsidRPr="00AA1EE5">
        <w:rPr>
          <w:rFonts w:ascii="Verdana" w:hAnsi="Verdana" w:cs="Times New Roman"/>
          <w:i/>
          <w:iCs/>
          <w:color w:val="000000"/>
          <w:sz w:val="20"/>
          <w:szCs w:val="20"/>
        </w:rPr>
        <w:t>Education and politics in the 1990s: Conflict or consensus?</w:t>
      </w:r>
      <w:r w:rsidRPr="00AA1EE5">
        <w:rPr>
          <w:rFonts w:ascii="Verdana" w:hAnsi="Verdana" w:cs="Times New Roman"/>
          <w:color w:val="000000"/>
          <w:sz w:val="20"/>
          <w:szCs w:val="20"/>
        </w:rPr>
        <w:t> London: The Falmer Press. </w:t>
      </w:r>
      <w:r w:rsidRPr="00AA1EE5">
        <w:rPr>
          <w:rFonts w:ascii="Verdana" w:hAnsi="Verdana" w:cs="Times New Roman"/>
          <w:color w:val="000000"/>
          <w:sz w:val="20"/>
          <w:szCs w:val="20"/>
        </w:rPr>
        <w:br/>
      </w:r>
      <w:r w:rsidRPr="00AA1EE5">
        <w:rPr>
          <w:rFonts w:ascii="Verdana" w:hAnsi="Verdana" w:cs="Times New Roman"/>
          <w:color w:val="000000"/>
          <w:sz w:val="20"/>
          <w:szCs w:val="20"/>
        </w:rPr>
        <w:br/>
        <w:t>Levin, B. (1997). The lessons of international education reform. </w:t>
      </w:r>
      <w:r w:rsidRPr="00AA1EE5">
        <w:rPr>
          <w:rFonts w:ascii="Verdana" w:hAnsi="Verdana" w:cs="Times New Roman"/>
          <w:i/>
          <w:iCs/>
          <w:color w:val="000000"/>
          <w:sz w:val="20"/>
          <w:szCs w:val="20"/>
        </w:rPr>
        <w:t>Journal of Education Policy</w:t>
      </w:r>
      <w:r w:rsidRPr="00AA1EE5">
        <w:rPr>
          <w:rFonts w:ascii="Verdana" w:hAnsi="Verdana" w:cs="Times New Roman"/>
          <w:color w:val="000000"/>
          <w:sz w:val="20"/>
          <w:szCs w:val="20"/>
        </w:rPr>
        <w:t>, Vol. 12, Number 4, 253-266. </w:t>
      </w:r>
      <w:r w:rsidRPr="00AA1EE5">
        <w:rPr>
          <w:rFonts w:ascii="Verdana" w:hAnsi="Verdana" w:cs="Times New Roman"/>
          <w:color w:val="000000"/>
          <w:sz w:val="20"/>
          <w:szCs w:val="20"/>
        </w:rPr>
        <w:br/>
      </w:r>
      <w:r w:rsidRPr="00AA1EE5">
        <w:rPr>
          <w:rFonts w:ascii="Verdana" w:hAnsi="Verdana" w:cs="Times New Roman"/>
          <w:color w:val="000000"/>
          <w:sz w:val="20"/>
          <w:szCs w:val="20"/>
        </w:rPr>
        <w:br/>
        <w:t>Levin, B., &amp; Young, J. (1994). </w:t>
      </w:r>
      <w:r w:rsidRPr="00AA1EE5">
        <w:rPr>
          <w:rFonts w:ascii="Verdana" w:hAnsi="Verdana" w:cs="Times New Roman"/>
          <w:i/>
          <w:iCs/>
          <w:color w:val="000000"/>
          <w:sz w:val="20"/>
          <w:szCs w:val="20"/>
        </w:rPr>
        <w:t>Understanding Canadian schools: An introduction to educational administration</w:t>
      </w:r>
      <w:r w:rsidRPr="00AA1EE5">
        <w:rPr>
          <w:rFonts w:ascii="Verdana" w:hAnsi="Verdana" w:cs="Times New Roman"/>
          <w:color w:val="000000"/>
          <w:sz w:val="20"/>
          <w:szCs w:val="20"/>
        </w:rPr>
        <w:t>. Toronto: Harcourt Brace &amp; Company. </w:t>
      </w:r>
      <w:r w:rsidRPr="00AA1EE5">
        <w:rPr>
          <w:rFonts w:ascii="Verdana" w:hAnsi="Verdana" w:cs="Times New Roman"/>
          <w:color w:val="000000"/>
          <w:sz w:val="20"/>
          <w:szCs w:val="20"/>
        </w:rPr>
        <w:br/>
      </w:r>
      <w:r w:rsidRPr="00AA1EE5">
        <w:rPr>
          <w:rFonts w:ascii="Verdana" w:hAnsi="Verdana" w:cs="Times New Roman"/>
          <w:i/>
          <w:iCs/>
          <w:color w:val="000000"/>
          <w:sz w:val="20"/>
          <w:szCs w:val="20"/>
        </w:rPr>
        <w:br/>
        <w:t>Læreplanverket for den 10-årige grunnskolen</w:t>
      </w:r>
      <w:r w:rsidRPr="00AA1EE5">
        <w:rPr>
          <w:rFonts w:ascii="Verdana" w:hAnsi="Verdana" w:cs="Times New Roman"/>
          <w:color w:val="000000"/>
          <w:sz w:val="20"/>
          <w:szCs w:val="20"/>
        </w:rPr>
        <w:t>. (1996). Det kongelige kirke-, utdannings og forskningsdepartementet </w:t>
      </w:r>
      <w:r w:rsidRPr="00AA1EE5">
        <w:rPr>
          <w:rFonts w:ascii="Verdana" w:hAnsi="Verdana" w:cs="Times New Roman"/>
          <w:color w:val="000000"/>
          <w:sz w:val="20"/>
          <w:szCs w:val="20"/>
        </w:rPr>
        <w:br/>
      </w:r>
      <w:r w:rsidRPr="00AA1EE5">
        <w:rPr>
          <w:rFonts w:ascii="Verdana" w:hAnsi="Verdana" w:cs="Times New Roman"/>
          <w:color w:val="000000"/>
          <w:sz w:val="20"/>
          <w:szCs w:val="20"/>
        </w:rPr>
        <w:br/>
        <w:t>McGinn, N. (1992). Reforming educational governance: Centralisation/Decentralisation. In Arnove, R., Altbach, P. and Kelly, G (Eds.), </w:t>
      </w:r>
      <w:r w:rsidRPr="00AA1EE5">
        <w:rPr>
          <w:rFonts w:ascii="Verdana" w:hAnsi="Verdana" w:cs="Times New Roman"/>
          <w:i/>
          <w:iCs/>
          <w:color w:val="000000"/>
          <w:sz w:val="20"/>
          <w:szCs w:val="20"/>
        </w:rPr>
        <w:t>Emergent issues in education: Comparative perspectives.</w:t>
      </w:r>
      <w:r w:rsidRPr="00AA1EE5">
        <w:rPr>
          <w:rFonts w:ascii="Verdana" w:hAnsi="Verdana" w:cs="Times New Roman"/>
          <w:color w:val="000000"/>
          <w:sz w:val="20"/>
          <w:szCs w:val="20"/>
        </w:rPr>
        <w:t> Albany: State University of New York Press. </w:t>
      </w:r>
      <w:r w:rsidRPr="00AA1EE5">
        <w:rPr>
          <w:rFonts w:ascii="Verdana" w:hAnsi="Verdana" w:cs="Times New Roman"/>
          <w:color w:val="000000"/>
          <w:sz w:val="20"/>
          <w:szCs w:val="20"/>
        </w:rPr>
        <w:br/>
      </w:r>
      <w:r w:rsidRPr="00AA1EE5">
        <w:rPr>
          <w:rFonts w:ascii="Verdana" w:hAnsi="Verdana" w:cs="Times New Roman"/>
          <w:color w:val="000000"/>
          <w:sz w:val="20"/>
          <w:szCs w:val="20"/>
        </w:rPr>
        <w:br/>
        <w:t>Ministry of Education. (1995). </w:t>
      </w:r>
      <w:r w:rsidRPr="00AA1EE5">
        <w:rPr>
          <w:rFonts w:ascii="Verdana" w:hAnsi="Verdana" w:cs="Times New Roman"/>
          <w:i/>
          <w:iCs/>
          <w:color w:val="000000"/>
          <w:sz w:val="20"/>
          <w:szCs w:val="20"/>
        </w:rPr>
        <w:t>Report to parents. Improving the quality of education: An update</w:t>
      </w:r>
      <w:r w:rsidRPr="00AA1EE5">
        <w:rPr>
          <w:rFonts w:ascii="Verdana" w:hAnsi="Verdana" w:cs="Times New Roman"/>
          <w:color w:val="000000"/>
          <w:sz w:val="20"/>
          <w:szCs w:val="20"/>
        </w:rPr>
        <w:t>. Province of British Columbia. </w:t>
      </w:r>
      <w:r w:rsidRPr="00AA1EE5">
        <w:rPr>
          <w:rFonts w:ascii="Verdana" w:hAnsi="Verdana" w:cs="Times New Roman"/>
          <w:color w:val="000000"/>
          <w:sz w:val="20"/>
          <w:szCs w:val="20"/>
        </w:rPr>
        <w:br/>
      </w:r>
      <w:r w:rsidRPr="00AA1EE5">
        <w:rPr>
          <w:rFonts w:ascii="Verdana" w:hAnsi="Verdana" w:cs="Times New Roman"/>
          <w:color w:val="000000"/>
          <w:sz w:val="20"/>
          <w:szCs w:val="20"/>
        </w:rPr>
        <w:br/>
        <w:t>Mintzberg, H. (1983). </w:t>
      </w:r>
      <w:r w:rsidRPr="00AA1EE5">
        <w:rPr>
          <w:rFonts w:ascii="Verdana" w:hAnsi="Verdana" w:cs="Times New Roman"/>
          <w:i/>
          <w:iCs/>
          <w:color w:val="000000"/>
          <w:sz w:val="20"/>
          <w:szCs w:val="20"/>
        </w:rPr>
        <w:t>Structure in five: designing effective organizations</w:t>
      </w:r>
      <w:r w:rsidRPr="00AA1EE5">
        <w:rPr>
          <w:rFonts w:ascii="Verdana" w:hAnsi="Verdana" w:cs="Times New Roman"/>
          <w:color w:val="000000"/>
          <w:sz w:val="20"/>
          <w:szCs w:val="20"/>
        </w:rPr>
        <w:t>. Newark, N.J.: Prentice-Hall Inc. </w:t>
      </w:r>
      <w:r w:rsidRPr="00AA1EE5">
        <w:rPr>
          <w:rFonts w:ascii="Verdana" w:hAnsi="Verdana" w:cs="Times New Roman"/>
          <w:color w:val="000000"/>
          <w:sz w:val="20"/>
          <w:szCs w:val="20"/>
        </w:rPr>
        <w:br/>
      </w:r>
      <w:r w:rsidRPr="00AA1EE5">
        <w:rPr>
          <w:rFonts w:ascii="Verdana" w:hAnsi="Verdana" w:cs="Times New Roman"/>
          <w:color w:val="000000"/>
          <w:sz w:val="20"/>
          <w:szCs w:val="20"/>
        </w:rPr>
        <w:br/>
        <w:t>National Commission on Excellence in Education. (1983). </w:t>
      </w:r>
      <w:r w:rsidRPr="00AA1EE5">
        <w:rPr>
          <w:rFonts w:ascii="Verdana" w:hAnsi="Verdana" w:cs="Times New Roman"/>
          <w:i/>
          <w:iCs/>
          <w:color w:val="000000"/>
          <w:sz w:val="20"/>
          <w:szCs w:val="20"/>
        </w:rPr>
        <w:t>A nation at risk.</w:t>
      </w:r>
      <w:r w:rsidRPr="00AA1EE5">
        <w:rPr>
          <w:rFonts w:ascii="Verdana" w:hAnsi="Verdana" w:cs="Times New Roman"/>
          <w:color w:val="000000"/>
          <w:sz w:val="20"/>
          <w:szCs w:val="20"/>
        </w:rPr>
        <w:t> </w:t>
      </w:r>
      <w:r w:rsidRPr="00AA1EE5">
        <w:rPr>
          <w:rFonts w:ascii="Verdana" w:hAnsi="Verdana" w:cs="Times New Roman"/>
          <w:color w:val="000000"/>
          <w:sz w:val="20"/>
          <w:szCs w:val="20"/>
        </w:rPr>
        <w:br/>
      </w:r>
      <w:r w:rsidRPr="00AA1EE5">
        <w:rPr>
          <w:rFonts w:ascii="Verdana" w:hAnsi="Verdana" w:cs="Times New Roman"/>
          <w:color w:val="000000"/>
          <w:sz w:val="20"/>
          <w:szCs w:val="20"/>
        </w:rPr>
        <w:br/>
        <w:t>OECD. (1995). </w:t>
      </w:r>
      <w:r w:rsidRPr="00AA1EE5">
        <w:rPr>
          <w:rFonts w:ascii="Verdana" w:hAnsi="Verdana" w:cs="Times New Roman"/>
          <w:i/>
          <w:iCs/>
          <w:color w:val="000000"/>
          <w:sz w:val="20"/>
          <w:szCs w:val="20"/>
        </w:rPr>
        <w:t>Decision-making in 14 OECD education systems</w:t>
      </w:r>
      <w:r w:rsidRPr="00AA1EE5">
        <w:rPr>
          <w:rFonts w:ascii="Verdana" w:hAnsi="Verdana" w:cs="Times New Roman"/>
          <w:color w:val="000000"/>
          <w:sz w:val="20"/>
          <w:szCs w:val="20"/>
        </w:rPr>
        <w:t>. OECD: Paris. </w:t>
      </w:r>
      <w:r w:rsidRPr="00AA1EE5">
        <w:rPr>
          <w:rFonts w:ascii="Verdana" w:hAnsi="Verdana" w:cs="Times New Roman"/>
          <w:color w:val="000000"/>
          <w:sz w:val="20"/>
          <w:szCs w:val="20"/>
        </w:rPr>
        <w:br/>
      </w:r>
      <w:r w:rsidRPr="00AA1EE5">
        <w:rPr>
          <w:rFonts w:ascii="Verdana" w:hAnsi="Verdana" w:cs="Times New Roman"/>
          <w:color w:val="000000"/>
          <w:sz w:val="20"/>
          <w:szCs w:val="20"/>
        </w:rPr>
        <w:br/>
        <w:t>OECD. (1988). </w:t>
      </w:r>
      <w:r w:rsidRPr="00AA1EE5">
        <w:rPr>
          <w:rFonts w:ascii="Verdana" w:hAnsi="Verdana" w:cs="Times New Roman"/>
          <w:i/>
          <w:iCs/>
          <w:color w:val="000000"/>
          <w:sz w:val="20"/>
          <w:szCs w:val="20"/>
        </w:rPr>
        <w:t>Reviews of national policies for education: Norway</w:t>
      </w:r>
      <w:r w:rsidRPr="00AA1EE5">
        <w:rPr>
          <w:rFonts w:ascii="Verdana" w:hAnsi="Verdana" w:cs="Times New Roman"/>
          <w:color w:val="000000"/>
          <w:sz w:val="20"/>
          <w:szCs w:val="20"/>
        </w:rPr>
        <w:t>. OECD: Paris </w:t>
      </w:r>
      <w:r w:rsidRPr="00AA1EE5">
        <w:rPr>
          <w:rFonts w:ascii="Verdana" w:hAnsi="Verdana" w:cs="Times New Roman"/>
          <w:color w:val="000000"/>
          <w:sz w:val="20"/>
          <w:szCs w:val="20"/>
        </w:rPr>
        <w:br/>
      </w:r>
      <w:r w:rsidRPr="00AA1EE5">
        <w:rPr>
          <w:rFonts w:ascii="Verdana" w:hAnsi="Verdana" w:cs="Times New Roman"/>
          <w:color w:val="000000"/>
          <w:sz w:val="20"/>
          <w:szCs w:val="20"/>
        </w:rPr>
        <w:br/>
        <w:t>Østerud, Ø. (1991). </w:t>
      </w:r>
      <w:r w:rsidRPr="00AA1EE5">
        <w:rPr>
          <w:rFonts w:ascii="Verdana" w:hAnsi="Verdana" w:cs="Times New Roman"/>
          <w:i/>
          <w:iCs/>
          <w:color w:val="000000"/>
          <w:sz w:val="20"/>
          <w:szCs w:val="20"/>
        </w:rPr>
        <w:t>Statsvitenskap: en innføring i politisk analyse</w:t>
      </w:r>
      <w:r w:rsidRPr="00AA1EE5">
        <w:rPr>
          <w:rFonts w:ascii="Verdana" w:hAnsi="Verdana" w:cs="Times New Roman"/>
          <w:color w:val="000000"/>
          <w:sz w:val="20"/>
          <w:szCs w:val="20"/>
        </w:rPr>
        <w:t>. Oslo: Universitetsforlaget. </w:t>
      </w:r>
      <w:r w:rsidRPr="00AA1EE5">
        <w:rPr>
          <w:rFonts w:ascii="Verdana" w:hAnsi="Verdana" w:cs="Times New Roman"/>
          <w:color w:val="000000"/>
          <w:sz w:val="20"/>
          <w:szCs w:val="20"/>
        </w:rPr>
        <w:br/>
      </w:r>
      <w:r w:rsidRPr="00AA1EE5">
        <w:rPr>
          <w:rFonts w:ascii="Verdana" w:hAnsi="Verdana" w:cs="Times New Roman"/>
          <w:color w:val="000000"/>
          <w:sz w:val="20"/>
          <w:szCs w:val="20"/>
        </w:rPr>
        <w:br/>
        <w:t>Rondinelli, D. A., Nellis, J. R., &amp; Cheema, G. S. (1983). </w:t>
      </w:r>
      <w:r w:rsidRPr="00AA1EE5">
        <w:rPr>
          <w:rFonts w:ascii="Verdana" w:hAnsi="Verdana" w:cs="Times New Roman"/>
          <w:i/>
          <w:iCs/>
          <w:color w:val="000000"/>
          <w:sz w:val="20"/>
          <w:szCs w:val="20"/>
        </w:rPr>
        <w:t>Decentralization in developing countries: A review of recent experience</w:t>
      </w:r>
      <w:r w:rsidRPr="00AA1EE5">
        <w:rPr>
          <w:rFonts w:ascii="Verdana" w:hAnsi="Verdana" w:cs="Times New Roman"/>
          <w:color w:val="000000"/>
          <w:sz w:val="20"/>
          <w:szCs w:val="20"/>
        </w:rPr>
        <w:t>. World Bank Staff Working Papers, Number 581. Washington, D. C.: Management and Development Series, Number 8. </w:t>
      </w:r>
      <w:r w:rsidRPr="00AA1EE5">
        <w:rPr>
          <w:rFonts w:ascii="Verdana" w:hAnsi="Verdana" w:cs="Times New Roman"/>
          <w:color w:val="000000"/>
          <w:sz w:val="20"/>
          <w:szCs w:val="20"/>
        </w:rPr>
        <w:br/>
      </w:r>
      <w:r w:rsidRPr="00AA1EE5">
        <w:rPr>
          <w:rFonts w:ascii="Verdana" w:hAnsi="Verdana" w:cs="Times New Roman"/>
          <w:color w:val="000000"/>
          <w:sz w:val="20"/>
          <w:szCs w:val="20"/>
        </w:rPr>
        <w:br/>
        <w:t>Royal Norwegian Ministry of Education. (1992). </w:t>
      </w:r>
      <w:r w:rsidRPr="00AA1EE5">
        <w:rPr>
          <w:rFonts w:ascii="Verdana" w:hAnsi="Verdana" w:cs="Times New Roman"/>
          <w:i/>
          <w:iCs/>
          <w:color w:val="000000"/>
          <w:sz w:val="20"/>
          <w:szCs w:val="20"/>
        </w:rPr>
        <w:t>The development of education 1990-92.</w:t>
      </w:r>
      <w:r w:rsidRPr="00AA1EE5">
        <w:rPr>
          <w:rFonts w:ascii="Verdana" w:hAnsi="Verdana" w:cs="Times New Roman"/>
          <w:color w:val="000000"/>
          <w:sz w:val="20"/>
          <w:szCs w:val="20"/>
        </w:rPr>
        <w:t> Oslo. </w:t>
      </w:r>
      <w:r w:rsidRPr="00AA1EE5">
        <w:rPr>
          <w:rFonts w:ascii="Verdana" w:hAnsi="Verdana" w:cs="Times New Roman"/>
          <w:color w:val="000000"/>
          <w:sz w:val="20"/>
          <w:szCs w:val="20"/>
        </w:rPr>
        <w:br/>
        <w:t>Solstad, K. J. (1994). </w:t>
      </w:r>
      <w:r w:rsidRPr="00AA1EE5">
        <w:rPr>
          <w:rFonts w:ascii="Verdana" w:hAnsi="Verdana" w:cs="Times New Roman"/>
          <w:i/>
          <w:iCs/>
          <w:color w:val="000000"/>
          <w:sz w:val="20"/>
          <w:szCs w:val="20"/>
        </w:rPr>
        <w:t>Equity at risk? Schooling and Change in Norway</w:t>
      </w:r>
      <w:r w:rsidRPr="00AA1EE5">
        <w:rPr>
          <w:rFonts w:ascii="Verdana" w:hAnsi="Verdana" w:cs="Times New Roman"/>
          <w:color w:val="000000"/>
          <w:sz w:val="20"/>
          <w:szCs w:val="20"/>
        </w:rPr>
        <w:t>. National Education Office, Nordland County. </w:t>
      </w:r>
      <w:r w:rsidRPr="00AA1EE5">
        <w:rPr>
          <w:rFonts w:ascii="Verdana" w:hAnsi="Verdana" w:cs="Times New Roman"/>
          <w:color w:val="000000"/>
          <w:sz w:val="20"/>
          <w:szCs w:val="20"/>
        </w:rPr>
        <w:br/>
      </w:r>
      <w:r w:rsidRPr="00AA1EE5">
        <w:rPr>
          <w:rFonts w:ascii="Verdana" w:hAnsi="Verdana" w:cs="Times New Roman"/>
          <w:color w:val="000000"/>
          <w:sz w:val="20"/>
          <w:szCs w:val="20"/>
        </w:rPr>
        <w:br/>
        <w:t>Smith, B. C. (1985). </w:t>
      </w:r>
      <w:r w:rsidRPr="00AA1EE5">
        <w:rPr>
          <w:rFonts w:ascii="Verdana" w:hAnsi="Verdana" w:cs="Times New Roman"/>
          <w:i/>
          <w:iCs/>
          <w:color w:val="000000"/>
          <w:sz w:val="20"/>
          <w:szCs w:val="20"/>
        </w:rPr>
        <w:t>Decentralization</w:t>
      </w:r>
      <w:r w:rsidRPr="00AA1EE5">
        <w:rPr>
          <w:rFonts w:ascii="Verdana" w:hAnsi="Verdana" w:cs="Times New Roman"/>
          <w:color w:val="000000"/>
          <w:sz w:val="20"/>
          <w:szCs w:val="20"/>
        </w:rPr>
        <w:t>. London: George Allen &amp; Unwin. </w:t>
      </w:r>
      <w:r w:rsidRPr="00AA1EE5">
        <w:rPr>
          <w:rFonts w:ascii="Verdana" w:hAnsi="Verdana" w:cs="Times New Roman"/>
          <w:color w:val="000000"/>
          <w:sz w:val="20"/>
          <w:szCs w:val="20"/>
        </w:rPr>
        <w:br/>
      </w:r>
      <w:r w:rsidRPr="00AA1EE5">
        <w:rPr>
          <w:rFonts w:ascii="Verdana" w:hAnsi="Verdana" w:cs="Times New Roman"/>
          <w:color w:val="000000"/>
          <w:sz w:val="20"/>
          <w:szCs w:val="20"/>
        </w:rPr>
        <w:br/>
        <w:t>St. meld. nr. 56. (1986-87). </w:t>
      </w:r>
      <w:r w:rsidRPr="00AA1EE5">
        <w:rPr>
          <w:rFonts w:ascii="Verdana" w:hAnsi="Verdana" w:cs="Times New Roman"/>
          <w:i/>
          <w:iCs/>
          <w:color w:val="000000"/>
          <w:sz w:val="20"/>
          <w:szCs w:val="20"/>
        </w:rPr>
        <w:t>Om endringer i inntektssystemet for kommuner og fylkeskommuner</w:t>
      </w:r>
      <w:r w:rsidRPr="00AA1EE5">
        <w:rPr>
          <w:rFonts w:ascii="Verdana" w:hAnsi="Verdana" w:cs="Times New Roman"/>
          <w:color w:val="000000"/>
          <w:sz w:val="20"/>
          <w:szCs w:val="20"/>
        </w:rPr>
        <w:t>. </w:t>
      </w:r>
      <w:r w:rsidRPr="00AA1EE5">
        <w:rPr>
          <w:rFonts w:ascii="Verdana" w:hAnsi="Verdana" w:cs="Times New Roman"/>
          <w:color w:val="000000"/>
          <w:sz w:val="20"/>
          <w:szCs w:val="20"/>
        </w:rPr>
        <w:br/>
      </w:r>
      <w:r w:rsidRPr="00AA1EE5">
        <w:rPr>
          <w:rFonts w:ascii="Verdana" w:hAnsi="Verdana" w:cs="Times New Roman"/>
          <w:color w:val="000000"/>
          <w:sz w:val="20"/>
          <w:szCs w:val="20"/>
        </w:rPr>
        <w:br/>
        <w:t>St. meld. nr. 37. (1990-91). </w:t>
      </w:r>
      <w:r w:rsidRPr="00AA1EE5">
        <w:rPr>
          <w:rFonts w:ascii="Verdana" w:hAnsi="Verdana" w:cs="Times New Roman"/>
          <w:i/>
          <w:iCs/>
          <w:color w:val="000000"/>
          <w:sz w:val="20"/>
          <w:szCs w:val="20"/>
        </w:rPr>
        <w:t>Om organisering og styring av utdanningssektoren</w:t>
      </w:r>
      <w:r w:rsidRPr="00AA1EE5">
        <w:rPr>
          <w:rFonts w:ascii="Verdana" w:hAnsi="Verdana" w:cs="Times New Roman"/>
          <w:color w:val="000000"/>
          <w:sz w:val="20"/>
          <w:szCs w:val="20"/>
        </w:rPr>
        <w:t>. </w:t>
      </w:r>
      <w:r w:rsidRPr="00AA1EE5">
        <w:rPr>
          <w:rFonts w:ascii="Verdana" w:hAnsi="Verdana" w:cs="Times New Roman"/>
          <w:color w:val="000000"/>
          <w:sz w:val="20"/>
          <w:szCs w:val="20"/>
        </w:rPr>
        <w:br/>
      </w:r>
      <w:r w:rsidRPr="00AA1EE5">
        <w:rPr>
          <w:rFonts w:ascii="Verdana" w:hAnsi="Verdana" w:cs="Times New Roman"/>
          <w:color w:val="000000"/>
          <w:sz w:val="20"/>
          <w:szCs w:val="20"/>
        </w:rPr>
        <w:br/>
        <w:t>Ungerleider, C. S. (1996). </w:t>
      </w:r>
      <w:r w:rsidRPr="00AA1EE5">
        <w:rPr>
          <w:rFonts w:ascii="Verdana" w:hAnsi="Verdana" w:cs="Times New Roman"/>
          <w:i/>
          <w:iCs/>
          <w:color w:val="000000"/>
          <w:sz w:val="20"/>
          <w:szCs w:val="20"/>
        </w:rPr>
        <w:t>Globalization, professionalization, and educational politics in British Columbia</w:t>
      </w:r>
      <w:r w:rsidRPr="00AA1EE5">
        <w:rPr>
          <w:rFonts w:ascii="Verdana" w:hAnsi="Verdana" w:cs="Times New Roman"/>
          <w:color w:val="000000"/>
          <w:sz w:val="20"/>
          <w:szCs w:val="20"/>
        </w:rPr>
        <w:t>. Department of Social and Educational Studies. University of British Columbia. </w:t>
      </w:r>
      <w:r w:rsidRPr="00AA1EE5">
        <w:rPr>
          <w:rFonts w:ascii="Verdana" w:hAnsi="Verdana" w:cs="Times New Roman"/>
          <w:color w:val="000000"/>
          <w:sz w:val="20"/>
          <w:szCs w:val="20"/>
        </w:rPr>
        <w:br/>
      </w:r>
      <w:r w:rsidRPr="00AA1EE5">
        <w:rPr>
          <w:rFonts w:ascii="Verdana" w:hAnsi="Verdana" w:cs="Times New Roman"/>
          <w:color w:val="000000"/>
          <w:sz w:val="20"/>
          <w:szCs w:val="20"/>
        </w:rPr>
        <w:br/>
        <w:t>Weiler, H. N. (1990). Decentralisation in educational governance: An exercise in contradiction? In M. Granheim, M., Kogan, and M. Lundgren. (Eds.). </w:t>
      </w:r>
      <w:r w:rsidRPr="00AA1EE5">
        <w:rPr>
          <w:rFonts w:ascii="Verdana" w:hAnsi="Verdana" w:cs="Times New Roman"/>
          <w:i/>
          <w:iCs/>
          <w:color w:val="000000"/>
          <w:sz w:val="20"/>
          <w:szCs w:val="20"/>
        </w:rPr>
        <w:t>Evaluation as policymaking: Introduction evaluation into a national decentralised educational system.</w:t>
      </w:r>
      <w:r w:rsidRPr="00AA1EE5">
        <w:rPr>
          <w:rFonts w:ascii="Verdana" w:hAnsi="Verdana" w:cs="Times New Roman"/>
          <w:color w:val="000000"/>
          <w:sz w:val="20"/>
          <w:szCs w:val="20"/>
        </w:rPr>
        <w:t> London: Jessica Kingsley. </w:t>
      </w:r>
      <w:r w:rsidRPr="00AA1EE5">
        <w:rPr>
          <w:rFonts w:ascii="Verdana" w:hAnsi="Verdana" w:cs="Times New Roman"/>
          <w:color w:val="000000"/>
          <w:sz w:val="20"/>
          <w:szCs w:val="20"/>
        </w:rPr>
        <w:br/>
      </w:r>
      <w:r w:rsidRPr="00AA1EE5">
        <w:rPr>
          <w:rFonts w:ascii="Verdana" w:hAnsi="Verdana" w:cs="Times New Roman"/>
          <w:color w:val="000000"/>
          <w:sz w:val="20"/>
          <w:szCs w:val="20"/>
        </w:rPr>
        <w:br/>
        <w:t>Western Canadian Protocol for Collaboration in Basic Education December 10, 1993. </w:t>
      </w:r>
    </w:p>
    <w:p w14:paraId="525FA91A" w14:textId="77777777" w:rsidR="00AA1EE5" w:rsidRPr="00AA1EE5" w:rsidRDefault="00AA1EE5" w:rsidP="00AA1EE5">
      <w:pPr>
        <w:spacing w:before="100" w:beforeAutospacing="1" w:after="100" w:afterAutospacing="1"/>
        <w:jc w:val="center"/>
        <w:rPr>
          <w:rFonts w:ascii="-webkit-standard" w:hAnsi="-webkit-standard" w:cs="Times New Roman"/>
          <w:color w:val="000000"/>
        </w:rPr>
      </w:pPr>
      <w:r w:rsidRPr="00AA1EE5">
        <w:rPr>
          <w:rFonts w:ascii="Verdana" w:hAnsi="Verdana" w:cs="Times New Roman"/>
          <w:b/>
          <w:bCs/>
          <w:color w:val="000000"/>
          <w:sz w:val="20"/>
          <w:szCs w:val="20"/>
        </w:rPr>
        <w:t>Footnotes</w:t>
      </w:r>
    </w:p>
    <w:p w14:paraId="3AE71DFE"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vertAlign w:val="superscript"/>
        </w:rPr>
        <w:t>1</w:t>
      </w:r>
      <w:r w:rsidRPr="00AA1EE5">
        <w:rPr>
          <w:rFonts w:ascii="Verdana" w:hAnsi="Verdana" w:cs="Times New Roman"/>
          <w:color w:val="000000"/>
          <w:sz w:val="20"/>
          <w:szCs w:val="20"/>
        </w:rPr>
        <w:t>  In spite of the fact Norway and British Columbia (BC) are located almost opposite one another on the globe, they are topographically surprising similar, with islands, fjords, and snow-covered mountains, although BC has an area three times bigger in square kilometers. They have about the same populations, Norway about 4.3 million and BC 3.2 million. BC has a much more mixed population, and the settlement pattern is more concentrated. Common for the school systems in both Canada and Norway has been a publicly funded compulsory school system for all students. Most students go to the public schools, 95 and 99% for Canada and Norway, respectively. The total expenditure on education in relation to gross national product (GNP) has been about the same in both countries; in 1990 Canada spent 7.3 % and Norway 7.2%. </w:t>
      </w:r>
    </w:p>
    <w:p w14:paraId="4F76610E"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vertAlign w:val="superscript"/>
        </w:rPr>
        <w:t>2</w:t>
      </w:r>
      <w:r w:rsidRPr="00AA1EE5">
        <w:rPr>
          <w:rFonts w:ascii="Verdana" w:hAnsi="Verdana" w:cs="Times New Roman"/>
          <w:color w:val="000000"/>
          <w:sz w:val="20"/>
          <w:szCs w:val="20"/>
        </w:rPr>
        <w:t>  I first used the concept "decentralized centralism" in 1991 in my doctoral thesis, (in Norwegian) "Desentralisert skoleutvikling" (Decentralized School Development). </w:t>
      </w:r>
    </w:p>
    <w:p w14:paraId="0B763061"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vertAlign w:val="superscript"/>
        </w:rPr>
        <w:t>3 </w:t>
      </w:r>
      <w:r w:rsidRPr="00AA1EE5">
        <w:rPr>
          <w:rFonts w:ascii="Verdana" w:hAnsi="Verdana" w:cs="Times New Roman"/>
          <w:color w:val="000000"/>
          <w:sz w:val="20"/>
          <w:szCs w:val="20"/>
        </w:rPr>
        <w:t> Norway has a tradition of creating national Curriculum Guidelines for compulsory elementary education. The Guidelines of 1974 replaced Guidelines of 1939 and 1959, with a high standardization of school curriculum. </w:t>
      </w:r>
    </w:p>
    <w:p w14:paraId="502AA7FE"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vertAlign w:val="superscript"/>
        </w:rPr>
        <w:t>4</w:t>
      </w:r>
      <w:r w:rsidRPr="00AA1EE5">
        <w:rPr>
          <w:rFonts w:ascii="Verdana" w:hAnsi="Verdana" w:cs="Times New Roman"/>
          <w:color w:val="000000"/>
          <w:sz w:val="20"/>
          <w:szCs w:val="20"/>
        </w:rPr>
        <w:t>  Data from British Columbia, Canada, were collected during August and September 1996 at The University of British Columbia, Vancouver. These data are concentrated in time, from the late 1980s to the middle of the 1990s. During my stay, I visited The Ministry of Education in Victoria for interviews and talks. </w:t>
      </w:r>
    </w:p>
    <w:p w14:paraId="0F7BA24E"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vertAlign w:val="superscript"/>
        </w:rPr>
        <w:t>5</w:t>
      </w:r>
      <w:r w:rsidRPr="00AA1EE5">
        <w:rPr>
          <w:rFonts w:ascii="Verdana" w:hAnsi="Verdana" w:cs="Times New Roman"/>
          <w:color w:val="000000"/>
          <w:sz w:val="20"/>
          <w:szCs w:val="20"/>
        </w:rPr>
        <w:t>  The previous legislation required that every person who was a teacher on November 29, 1973, or thereafter be a member of the British Columbia Teachers' Federation (BCTF). </w:t>
      </w:r>
    </w:p>
    <w:p w14:paraId="150E3473"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vertAlign w:val="superscript"/>
        </w:rPr>
        <w:t>6</w:t>
      </w:r>
      <w:r w:rsidRPr="00AA1EE5">
        <w:rPr>
          <w:rFonts w:ascii="Verdana" w:hAnsi="Verdana" w:cs="Times New Roman"/>
          <w:color w:val="000000"/>
          <w:sz w:val="20"/>
          <w:szCs w:val="20"/>
        </w:rPr>
        <w:t>  The result was two province-wide actions, a one-day study session and a provincial general strike. The BCTF also took control of the new governing body of the British Columbia College of Teachers by successfully endorsing their candidates. </w:t>
      </w:r>
    </w:p>
    <w:p w14:paraId="5CFED666"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vertAlign w:val="superscript"/>
        </w:rPr>
        <w:t>7</w:t>
      </w:r>
      <w:r w:rsidRPr="00AA1EE5">
        <w:rPr>
          <w:rFonts w:ascii="Verdana" w:hAnsi="Verdana" w:cs="Times New Roman"/>
          <w:color w:val="000000"/>
          <w:sz w:val="20"/>
          <w:szCs w:val="20"/>
        </w:rPr>
        <w:t>  The constitutional basis is to be found in the British North American Act of 1867, re-enacted and retitled the Constitution Act 1982. </w:t>
      </w:r>
    </w:p>
    <w:p w14:paraId="3773F0DB"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vertAlign w:val="superscript"/>
        </w:rPr>
        <w:t>8</w:t>
      </w:r>
      <w:r w:rsidRPr="00AA1EE5">
        <w:rPr>
          <w:rFonts w:ascii="Verdana" w:hAnsi="Verdana" w:cs="Times New Roman"/>
          <w:color w:val="000000"/>
          <w:sz w:val="20"/>
          <w:szCs w:val="20"/>
        </w:rPr>
        <w:t>  The ministers who assembled in December 1993 were from the provinces of Manitoba, Saskatchewan, British Columbia, Alberta, Yukon Territory, and the Northwest Territories. </w:t>
      </w:r>
    </w:p>
    <w:p w14:paraId="75EBC750"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vertAlign w:val="superscript"/>
        </w:rPr>
        <w:t>9</w:t>
      </w:r>
      <w:r w:rsidRPr="00AA1EE5">
        <w:rPr>
          <w:rFonts w:ascii="Verdana" w:hAnsi="Verdana" w:cs="Times New Roman"/>
          <w:color w:val="000000"/>
          <w:sz w:val="20"/>
          <w:szCs w:val="20"/>
        </w:rPr>
        <w:t>  Even though Peter F. Drucker is very well known (his landmark study of Geneal Motor in particular is often mentioned in Norwegian scientific works), there seems to be less attention paid to his activities lately, for example to his interest in the contributions to society by non-profit organizations and to the establishment of the "Canadian Fundation for Nonprofit Innovation" in 1993. </w:t>
      </w:r>
    </w:p>
    <w:p w14:paraId="714A4C62" w14:textId="77777777" w:rsidR="00AA1EE5" w:rsidRPr="00AA1EE5" w:rsidRDefault="00AA1EE5" w:rsidP="00AA1EE5">
      <w:pPr>
        <w:spacing w:before="100" w:beforeAutospacing="1" w:after="100" w:afterAutospacing="1"/>
        <w:rPr>
          <w:rFonts w:ascii="-webkit-standard" w:hAnsi="-webkit-standard" w:cs="Times New Roman"/>
          <w:color w:val="000000"/>
        </w:rPr>
      </w:pPr>
      <w:r w:rsidRPr="00AA1EE5">
        <w:rPr>
          <w:rFonts w:ascii="Verdana" w:hAnsi="Verdana" w:cs="Times New Roman"/>
          <w:color w:val="000000"/>
          <w:sz w:val="20"/>
          <w:szCs w:val="20"/>
          <w:vertAlign w:val="superscript"/>
        </w:rPr>
        <w:t>10</w:t>
      </w:r>
      <w:r w:rsidRPr="00AA1EE5">
        <w:rPr>
          <w:rFonts w:ascii="Verdana" w:hAnsi="Verdana" w:cs="Times New Roman"/>
          <w:color w:val="000000"/>
          <w:sz w:val="20"/>
          <w:szCs w:val="20"/>
        </w:rPr>
        <w:t>  The new act followed a report from a Royal Commission (The Sullvian Commission 1988), which emphasized the importance of goals for education and a description of "the educated citizen."</w:t>
      </w:r>
    </w:p>
    <w:p w14:paraId="4A614369" w14:textId="77777777" w:rsidR="00003D60" w:rsidRDefault="00AA1EE5">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E5"/>
    <w:rsid w:val="000130AB"/>
    <w:rsid w:val="005C59CF"/>
    <w:rsid w:val="00AA1EE5"/>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75F1C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EE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AA1EE5"/>
    <w:rPr>
      <w:i/>
      <w:iCs/>
    </w:rPr>
  </w:style>
  <w:style w:type="character" w:customStyle="1" w:styleId="apple-converted-space">
    <w:name w:val="apple-converted-space"/>
    <w:basedOn w:val="DefaultParagraphFont"/>
    <w:rsid w:val="00AA1EE5"/>
  </w:style>
  <w:style w:type="character" w:styleId="Strong">
    <w:name w:val="Strong"/>
    <w:basedOn w:val="DefaultParagraphFont"/>
    <w:uiPriority w:val="22"/>
    <w:qFormat/>
    <w:rsid w:val="00AA1EE5"/>
    <w:rPr>
      <w:b/>
      <w:bCs/>
    </w:rPr>
  </w:style>
  <w:style w:type="character" w:styleId="Hyperlink">
    <w:name w:val="Hyperlink"/>
    <w:basedOn w:val="DefaultParagraphFont"/>
    <w:uiPriority w:val="99"/>
    <w:semiHidden/>
    <w:unhideWhenUsed/>
    <w:rsid w:val="00AA1E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559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umanitoba.ca/publications/cjeap/articles/karleson.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7385</Words>
  <Characters>42100</Characters>
  <Application>Microsoft Macintosh Word</Application>
  <DocSecurity>0</DocSecurity>
  <Lines>350</Lines>
  <Paragraphs>98</Paragraphs>
  <ScaleCrop>false</ScaleCrop>
  <LinksUpToDate>false</LinksUpToDate>
  <CharactersWithSpaces>49387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2017-04-14T05:24:00Z</dcterms:created>
  <dcterms:modified xsi:type="dcterms:W3CDTF">2017-04-14T05:25:00Z</dcterms:modified>
</cp:coreProperties>
</file>