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A2142" w14:textId="77777777" w:rsidR="00801D8B" w:rsidRDefault="00801D8B" w:rsidP="008F4BB5">
      <w:pPr>
        <w:jc w:val="center"/>
        <w:outlineLvl w:val="0"/>
        <w:rPr>
          <w:b/>
        </w:rPr>
      </w:pPr>
    </w:p>
    <w:p w14:paraId="68AAD244" w14:textId="77777777" w:rsidR="00801D8B" w:rsidRDefault="00801D8B" w:rsidP="008F4BB5">
      <w:pPr>
        <w:jc w:val="center"/>
        <w:outlineLvl w:val="0"/>
        <w:rPr>
          <w:b/>
        </w:rPr>
      </w:pPr>
    </w:p>
    <w:p w14:paraId="3AB7A267" w14:textId="77777777" w:rsidR="00AF0739" w:rsidRDefault="00AF0739" w:rsidP="008F4BB5">
      <w:pPr>
        <w:jc w:val="center"/>
        <w:outlineLvl w:val="0"/>
        <w:rPr>
          <w:b/>
          <w:color w:val="000000" w:themeColor="text1"/>
        </w:rPr>
      </w:pPr>
      <w:r w:rsidRPr="00525D61">
        <w:rPr>
          <w:b/>
        </w:rPr>
        <w:t>Grading Policies and Practices in C</w:t>
      </w:r>
      <w:r w:rsidRPr="00387ACF">
        <w:rPr>
          <w:b/>
          <w:color w:val="000000" w:themeColor="text1"/>
        </w:rPr>
        <w:t>anada: A Landscape Study</w:t>
      </w:r>
    </w:p>
    <w:p w14:paraId="25265079" w14:textId="77777777" w:rsidR="00801D8B" w:rsidRDefault="00801D8B" w:rsidP="00801D8B">
      <w:pPr>
        <w:spacing w:line="480" w:lineRule="auto"/>
        <w:jc w:val="center"/>
        <w:outlineLvl w:val="0"/>
        <w:rPr>
          <w:color w:val="000000" w:themeColor="text1"/>
        </w:rPr>
      </w:pPr>
    </w:p>
    <w:p w14:paraId="3B3AE258" w14:textId="77777777" w:rsidR="00801D8B" w:rsidRPr="00801D8B" w:rsidRDefault="00801D8B" w:rsidP="00801D8B">
      <w:pPr>
        <w:spacing w:line="480" w:lineRule="auto"/>
        <w:jc w:val="center"/>
        <w:outlineLvl w:val="0"/>
        <w:rPr>
          <w:color w:val="000000" w:themeColor="text1"/>
        </w:rPr>
      </w:pPr>
    </w:p>
    <w:p w14:paraId="1CC14A6C" w14:textId="05EADD27" w:rsidR="00801D8B" w:rsidRPr="00801D8B" w:rsidRDefault="00BE1BF3" w:rsidP="00801D8B">
      <w:pPr>
        <w:spacing w:line="480" w:lineRule="auto"/>
        <w:jc w:val="center"/>
        <w:outlineLvl w:val="0"/>
        <w:rPr>
          <w:color w:val="000000" w:themeColor="text1"/>
        </w:rPr>
      </w:pPr>
      <w:r>
        <w:rPr>
          <w:color w:val="000000" w:themeColor="text1"/>
        </w:rPr>
        <w:t>Blind Copy for Review</w:t>
      </w:r>
    </w:p>
    <w:p w14:paraId="43728AF9" w14:textId="77777777" w:rsidR="00801D8B" w:rsidRDefault="00801D8B" w:rsidP="00801D8B">
      <w:pPr>
        <w:spacing w:line="480" w:lineRule="auto"/>
        <w:jc w:val="center"/>
        <w:outlineLvl w:val="0"/>
        <w:rPr>
          <w:color w:val="000000" w:themeColor="text1"/>
        </w:rPr>
      </w:pPr>
    </w:p>
    <w:p w14:paraId="7C516D1E" w14:textId="77777777" w:rsidR="00801D8B" w:rsidRDefault="00801D8B" w:rsidP="00801D8B">
      <w:pPr>
        <w:spacing w:line="480" w:lineRule="auto"/>
        <w:jc w:val="center"/>
        <w:outlineLvl w:val="0"/>
        <w:rPr>
          <w:color w:val="000000" w:themeColor="text1"/>
        </w:rPr>
      </w:pPr>
    </w:p>
    <w:p w14:paraId="5AD3FFBF" w14:textId="77777777" w:rsidR="00801D8B" w:rsidRDefault="00801D8B" w:rsidP="00801D8B">
      <w:pPr>
        <w:spacing w:line="480" w:lineRule="auto"/>
        <w:jc w:val="center"/>
        <w:outlineLvl w:val="0"/>
        <w:rPr>
          <w:color w:val="000000" w:themeColor="text1"/>
        </w:rPr>
      </w:pPr>
    </w:p>
    <w:p w14:paraId="1207394D" w14:textId="77777777" w:rsidR="00801D8B" w:rsidRPr="00801D8B" w:rsidRDefault="00801D8B" w:rsidP="00801D8B">
      <w:pPr>
        <w:spacing w:line="480" w:lineRule="auto"/>
        <w:jc w:val="center"/>
        <w:outlineLvl w:val="0"/>
        <w:rPr>
          <w:color w:val="000000" w:themeColor="text1"/>
        </w:rPr>
      </w:pPr>
    </w:p>
    <w:p w14:paraId="1DD5087F" w14:textId="6AEA7F6F" w:rsidR="002C13E0" w:rsidRPr="00801D8B" w:rsidRDefault="00801D8B" w:rsidP="00801D8B">
      <w:pPr>
        <w:spacing w:line="480" w:lineRule="auto"/>
        <w:jc w:val="center"/>
        <w:rPr>
          <w:color w:val="000000" w:themeColor="text1"/>
        </w:rPr>
      </w:pPr>
      <w:r w:rsidRPr="00801D8B">
        <w:rPr>
          <w:color w:val="000000" w:themeColor="text1"/>
        </w:rPr>
        <w:t>Manuscript submitted to</w:t>
      </w:r>
    </w:p>
    <w:p w14:paraId="10B3C110" w14:textId="4A89A2BA" w:rsidR="002C13E0" w:rsidRPr="00801D8B" w:rsidRDefault="00933EC5" w:rsidP="00801D8B">
      <w:pPr>
        <w:spacing w:line="480" w:lineRule="auto"/>
        <w:jc w:val="center"/>
        <w:outlineLvl w:val="0"/>
        <w:rPr>
          <w:i/>
          <w:color w:val="000000" w:themeColor="text1"/>
        </w:rPr>
      </w:pPr>
      <w:r w:rsidRPr="00801D8B">
        <w:rPr>
          <w:i/>
          <w:color w:val="000000" w:themeColor="text1"/>
        </w:rPr>
        <w:t>Canadian Journal of Educational Administration and Policy</w:t>
      </w:r>
    </w:p>
    <w:p w14:paraId="7801FB9B" w14:textId="55F36988" w:rsidR="00387ACF" w:rsidRPr="00801D8B" w:rsidRDefault="00947962" w:rsidP="00801D8B">
      <w:pPr>
        <w:spacing w:line="480" w:lineRule="auto"/>
        <w:jc w:val="center"/>
        <w:rPr>
          <w:color w:val="000000" w:themeColor="text1"/>
        </w:rPr>
      </w:pPr>
      <w:r>
        <w:rPr>
          <w:color w:val="000000" w:themeColor="text1"/>
        </w:rPr>
        <w:t>December</w:t>
      </w:r>
      <w:r w:rsidRPr="00801D8B">
        <w:rPr>
          <w:color w:val="000000" w:themeColor="text1"/>
        </w:rPr>
        <w:t xml:space="preserve"> </w:t>
      </w:r>
      <w:r w:rsidR="00801D8B" w:rsidRPr="00801D8B">
        <w:rPr>
          <w:color w:val="000000" w:themeColor="text1"/>
        </w:rPr>
        <w:t>2016</w:t>
      </w:r>
    </w:p>
    <w:p w14:paraId="4127A575" w14:textId="77777777" w:rsidR="00801D8B" w:rsidRDefault="00801D8B" w:rsidP="00801D8B">
      <w:pPr>
        <w:rPr>
          <w:b/>
          <w:color w:val="000000" w:themeColor="text1"/>
        </w:rPr>
      </w:pPr>
    </w:p>
    <w:p w14:paraId="30FD7A67" w14:textId="77777777" w:rsidR="00801D8B" w:rsidRDefault="00801D8B" w:rsidP="00801D8B">
      <w:pPr>
        <w:rPr>
          <w:b/>
          <w:color w:val="000000" w:themeColor="text1"/>
        </w:rPr>
      </w:pPr>
    </w:p>
    <w:p w14:paraId="074D9E55" w14:textId="77777777" w:rsidR="00801D8B" w:rsidRDefault="00801D8B" w:rsidP="00801D8B">
      <w:pPr>
        <w:rPr>
          <w:b/>
          <w:color w:val="000000" w:themeColor="text1"/>
        </w:rPr>
      </w:pPr>
    </w:p>
    <w:p w14:paraId="1E32DA31" w14:textId="77777777" w:rsidR="00BE1BF3" w:rsidRDefault="00BE1BF3" w:rsidP="00801D8B">
      <w:pPr>
        <w:rPr>
          <w:b/>
          <w:color w:val="000000" w:themeColor="text1"/>
        </w:rPr>
      </w:pPr>
    </w:p>
    <w:p w14:paraId="1FE9460C" w14:textId="77777777" w:rsidR="00BE1BF3" w:rsidRDefault="00BE1BF3" w:rsidP="00801D8B">
      <w:pPr>
        <w:rPr>
          <w:b/>
          <w:color w:val="000000" w:themeColor="text1"/>
        </w:rPr>
      </w:pPr>
    </w:p>
    <w:p w14:paraId="47BFDF59" w14:textId="26E82337" w:rsidR="00801D8B" w:rsidRPr="00801D8B" w:rsidRDefault="00801D8B" w:rsidP="00801D8B">
      <w:pPr>
        <w:rPr>
          <w:color w:val="000000" w:themeColor="text1"/>
        </w:rPr>
      </w:pPr>
      <w:r w:rsidRPr="00801D8B">
        <w:rPr>
          <w:color w:val="000000" w:themeColor="text1"/>
        </w:rPr>
        <w:t>Header: Grading Policies in Canada</w:t>
      </w:r>
    </w:p>
    <w:p w14:paraId="7FE67B2C" w14:textId="3A2DFC90" w:rsidR="00801D8B" w:rsidRDefault="00801D8B">
      <w:pPr>
        <w:rPr>
          <w:color w:val="000000" w:themeColor="text1"/>
        </w:rPr>
      </w:pPr>
      <w:r>
        <w:rPr>
          <w:color w:val="000000" w:themeColor="text1"/>
        </w:rPr>
        <w:br w:type="page"/>
      </w:r>
    </w:p>
    <w:p w14:paraId="761460BB" w14:textId="77777777" w:rsidR="00947962" w:rsidRPr="00947962" w:rsidRDefault="00947962" w:rsidP="00947962">
      <w:pPr>
        <w:widowControl w:val="0"/>
        <w:autoSpaceDE w:val="0"/>
        <w:autoSpaceDN w:val="0"/>
        <w:adjustRightInd w:val="0"/>
        <w:spacing w:line="480" w:lineRule="auto"/>
        <w:jc w:val="center"/>
        <w:rPr>
          <w:b/>
          <w:color w:val="000000" w:themeColor="text1"/>
        </w:rPr>
      </w:pPr>
      <w:r w:rsidRPr="00947962">
        <w:rPr>
          <w:b/>
          <w:color w:val="000000" w:themeColor="text1"/>
        </w:rPr>
        <w:lastRenderedPageBreak/>
        <w:t>Abstract</w:t>
      </w:r>
    </w:p>
    <w:p w14:paraId="79B6E3A2" w14:textId="377DA522" w:rsidR="00947962" w:rsidRDefault="00947962" w:rsidP="00947962">
      <w:pPr>
        <w:widowControl w:val="0"/>
        <w:autoSpaceDE w:val="0"/>
        <w:autoSpaceDN w:val="0"/>
        <w:adjustRightInd w:val="0"/>
        <w:spacing w:line="480" w:lineRule="auto"/>
        <w:ind w:firstLine="720"/>
        <w:rPr>
          <w:color w:val="000000" w:themeColor="text1"/>
        </w:rPr>
      </w:pPr>
      <w:r>
        <w:t>Given the longstanding role of grad</w:t>
      </w:r>
      <w:r>
        <w:t>es</w:t>
      </w:r>
      <w:r>
        <w:t xml:space="preserve"> in education, </w:t>
      </w:r>
      <w:r>
        <w:t>and their increased use</w:t>
      </w:r>
      <w:r>
        <w:t xml:space="preserve"> for high-stakes decisions including student mobility, admission, selection, </w:t>
      </w:r>
      <w:r>
        <w:t xml:space="preserve">and </w:t>
      </w:r>
      <w:r>
        <w:t>acco</w:t>
      </w:r>
      <w:r>
        <w:t xml:space="preserve">untability, this paper </w:t>
      </w:r>
      <w:r>
        <w:rPr>
          <w:color w:val="000000" w:themeColor="text1"/>
        </w:rPr>
        <w:t>paper presents a</w:t>
      </w:r>
      <w:r w:rsidR="001437AB">
        <w:rPr>
          <w:color w:val="000000" w:themeColor="text1"/>
        </w:rPr>
        <w:t xml:space="preserve"> systematic review </w:t>
      </w:r>
      <w:r>
        <w:rPr>
          <w:color w:val="000000" w:themeColor="text1"/>
        </w:rPr>
        <w:t xml:space="preserve">of </w:t>
      </w:r>
      <w:r w:rsidR="001437AB">
        <w:rPr>
          <w:color w:val="000000" w:themeColor="text1"/>
        </w:rPr>
        <w:t xml:space="preserve">grading </w:t>
      </w:r>
      <w:r w:rsidR="003367A4">
        <w:rPr>
          <w:color w:val="000000" w:themeColor="text1"/>
        </w:rPr>
        <w:t>policies</w:t>
      </w:r>
      <w:r w:rsidR="00A3764F">
        <w:rPr>
          <w:color w:val="000000" w:themeColor="text1"/>
        </w:rPr>
        <w:t xml:space="preserve"> </w:t>
      </w:r>
      <w:r>
        <w:rPr>
          <w:color w:val="000000" w:themeColor="text1"/>
        </w:rPr>
        <w:t>across all 10 Canadian provinces and 3 territories</w:t>
      </w:r>
      <w:r w:rsidR="003367A4">
        <w:rPr>
          <w:color w:val="000000" w:themeColor="text1"/>
        </w:rPr>
        <w:t xml:space="preserve">. </w:t>
      </w:r>
      <w:r>
        <w:rPr>
          <w:color w:val="000000" w:themeColor="text1"/>
        </w:rPr>
        <w:t xml:space="preserve">In total, 23 policies were inductively analyzed for their articulation of </w:t>
      </w:r>
      <w:r w:rsidR="00686006">
        <w:rPr>
          <w:color w:val="000000" w:themeColor="text1"/>
        </w:rPr>
        <w:t xml:space="preserve">(a) </w:t>
      </w:r>
      <w:r>
        <w:rPr>
          <w:color w:val="000000" w:themeColor="text1"/>
        </w:rPr>
        <w:t xml:space="preserve">the </w:t>
      </w:r>
      <w:r w:rsidR="00686006">
        <w:rPr>
          <w:color w:val="000000" w:themeColor="text1"/>
        </w:rPr>
        <w:t xml:space="preserve">purposes of grades, (b) </w:t>
      </w:r>
      <w:r>
        <w:rPr>
          <w:color w:val="000000" w:themeColor="text1"/>
        </w:rPr>
        <w:t xml:space="preserve">the </w:t>
      </w:r>
      <w:r w:rsidR="00686006">
        <w:rPr>
          <w:color w:val="000000" w:themeColor="text1"/>
        </w:rPr>
        <w:t xml:space="preserve">methods </w:t>
      </w:r>
      <w:r>
        <w:rPr>
          <w:color w:val="000000" w:themeColor="text1"/>
        </w:rPr>
        <w:t xml:space="preserve">used </w:t>
      </w:r>
      <w:r w:rsidR="00686006">
        <w:rPr>
          <w:color w:val="000000" w:themeColor="text1"/>
        </w:rPr>
        <w:t xml:space="preserve">for generating grades, and (c) </w:t>
      </w:r>
      <w:r>
        <w:rPr>
          <w:color w:val="000000" w:themeColor="text1"/>
        </w:rPr>
        <w:t xml:space="preserve">the relationship between </w:t>
      </w:r>
      <w:r w:rsidR="00686006">
        <w:rPr>
          <w:color w:val="000000" w:themeColor="text1"/>
        </w:rPr>
        <w:t xml:space="preserve">grading </w:t>
      </w:r>
      <w:r>
        <w:rPr>
          <w:color w:val="000000" w:themeColor="text1"/>
        </w:rPr>
        <w:t>and</w:t>
      </w:r>
      <w:r w:rsidR="00F440BF">
        <w:rPr>
          <w:color w:val="000000" w:themeColor="text1"/>
        </w:rPr>
        <w:t xml:space="preserve"> formative assessment. </w:t>
      </w:r>
      <w:r>
        <w:rPr>
          <w:color w:val="000000" w:themeColor="text1"/>
        </w:rPr>
        <w:t xml:space="preserve">Our analysis revealed significant areas of consistency across Canada while also highlighting important areas of variation. Implications of these findings </w:t>
      </w:r>
      <w:r>
        <w:rPr>
          <w:color w:val="000000" w:themeColor="text1"/>
        </w:rPr>
        <w:t>on the value and use of grades within and across educational systems in Canada</w:t>
      </w:r>
      <w:r>
        <w:rPr>
          <w:color w:val="000000" w:themeColor="text1"/>
        </w:rPr>
        <w:t xml:space="preserve"> are discussed.</w:t>
      </w:r>
    </w:p>
    <w:p w14:paraId="5BB57F9A" w14:textId="0BF52802" w:rsidR="00381B79" w:rsidRDefault="00381B79" w:rsidP="00947962">
      <w:pPr>
        <w:widowControl w:val="0"/>
        <w:autoSpaceDE w:val="0"/>
        <w:autoSpaceDN w:val="0"/>
        <w:adjustRightInd w:val="0"/>
        <w:spacing w:line="480" w:lineRule="auto"/>
        <w:ind w:firstLine="720"/>
        <w:rPr>
          <w:color w:val="000000" w:themeColor="text1"/>
        </w:rPr>
      </w:pPr>
    </w:p>
    <w:p w14:paraId="0542D7AB" w14:textId="77777777" w:rsidR="00393194" w:rsidRDefault="00393194" w:rsidP="00801D8B">
      <w:pPr>
        <w:widowControl w:val="0"/>
        <w:autoSpaceDE w:val="0"/>
        <w:autoSpaceDN w:val="0"/>
        <w:adjustRightInd w:val="0"/>
        <w:spacing w:line="480" w:lineRule="auto"/>
        <w:ind w:firstLine="720"/>
        <w:rPr>
          <w:color w:val="000000" w:themeColor="text1"/>
        </w:rPr>
      </w:pPr>
    </w:p>
    <w:p w14:paraId="5CF8438F" w14:textId="77777777" w:rsidR="00686006" w:rsidRDefault="00686006" w:rsidP="00801D8B">
      <w:pPr>
        <w:widowControl w:val="0"/>
        <w:autoSpaceDE w:val="0"/>
        <w:autoSpaceDN w:val="0"/>
        <w:adjustRightInd w:val="0"/>
        <w:spacing w:line="480" w:lineRule="auto"/>
        <w:ind w:firstLine="720"/>
        <w:rPr>
          <w:color w:val="000000" w:themeColor="text1"/>
        </w:rPr>
      </w:pPr>
    </w:p>
    <w:p w14:paraId="0CD50A44" w14:textId="77777777" w:rsidR="00381B79" w:rsidRDefault="00381B79">
      <w:pPr>
        <w:rPr>
          <w:color w:val="000000" w:themeColor="text1"/>
        </w:rPr>
      </w:pPr>
      <w:r>
        <w:rPr>
          <w:color w:val="000000" w:themeColor="text1"/>
        </w:rPr>
        <w:br w:type="page"/>
      </w:r>
    </w:p>
    <w:p w14:paraId="505DDF16" w14:textId="5CED0B3D" w:rsidR="00387ACF" w:rsidRPr="00387ACF" w:rsidRDefault="00387ACF" w:rsidP="00801D8B">
      <w:pPr>
        <w:widowControl w:val="0"/>
        <w:autoSpaceDE w:val="0"/>
        <w:autoSpaceDN w:val="0"/>
        <w:adjustRightInd w:val="0"/>
        <w:spacing w:line="480" w:lineRule="auto"/>
        <w:ind w:firstLine="720"/>
        <w:rPr>
          <w:color w:val="000000" w:themeColor="text1"/>
        </w:rPr>
      </w:pPr>
      <w:r w:rsidRPr="00387ACF">
        <w:rPr>
          <w:color w:val="000000" w:themeColor="text1"/>
        </w:rPr>
        <w:lastRenderedPageBreak/>
        <w:t xml:space="preserve">Grading has been a longstanding tradition in education. Since as early as 1792, when William </w:t>
      </w:r>
      <w:proofErr w:type="spellStart"/>
      <w:r w:rsidRPr="00387ACF">
        <w:rPr>
          <w:color w:val="000000" w:themeColor="text1"/>
        </w:rPr>
        <w:t>Farish</w:t>
      </w:r>
      <w:proofErr w:type="spellEnd"/>
      <w:r w:rsidRPr="00387ACF">
        <w:rPr>
          <w:color w:val="000000" w:themeColor="text1"/>
        </w:rPr>
        <w:t xml:space="preserve"> a tutor at Cambridge University established grading as a quantitative method for efficiently teaching and tracking students, grades have become the dominant process for summating and communicating student achievement </w:t>
      </w:r>
      <w:r w:rsidRPr="00982B67">
        <w:rPr>
          <w:color w:val="000000" w:themeColor="text1"/>
        </w:rPr>
        <w:t>(</w:t>
      </w:r>
      <w:proofErr w:type="spellStart"/>
      <w:r w:rsidRPr="00982B67">
        <w:rPr>
          <w:color w:val="000000" w:themeColor="text1"/>
        </w:rPr>
        <w:t>Brookhart</w:t>
      </w:r>
      <w:proofErr w:type="spellEnd"/>
      <w:r w:rsidRPr="00982B67">
        <w:rPr>
          <w:color w:val="000000" w:themeColor="text1"/>
        </w:rPr>
        <w:t>, 2013).</w:t>
      </w:r>
      <w:r w:rsidRPr="00387ACF">
        <w:rPr>
          <w:color w:val="000000" w:themeColor="text1"/>
        </w:rPr>
        <w:t xml:space="preserve"> Within contemporary standards-based systems of education evident </w:t>
      </w:r>
      <w:r w:rsidR="00B31F5C">
        <w:rPr>
          <w:color w:val="000000" w:themeColor="text1"/>
        </w:rPr>
        <w:t xml:space="preserve">particularly </w:t>
      </w:r>
      <w:r w:rsidRPr="00387ACF">
        <w:rPr>
          <w:color w:val="000000" w:themeColor="text1"/>
        </w:rPr>
        <w:t xml:space="preserve">across many jurisdictions in Canada and elsewhere, grades are increasingly used to make public statements about student learning in relation to common curriculum standards and performance expectations. </w:t>
      </w:r>
      <w:r w:rsidR="001A230E">
        <w:rPr>
          <w:color w:val="000000" w:themeColor="text1"/>
        </w:rPr>
        <w:t xml:space="preserve">Previous research into grading has focused primarily on </w:t>
      </w:r>
      <w:r w:rsidRPr="00387ACF">
        <w:rPr>
          <w:color w:val="000000" w:themeColor="text1"/>
        </w:rPr>
        <w:t xml:space="preserve">the reliability of teachers’ grades </w:t>
      </w:r>
      <w:r w:rsidRPr="00913756">
        <w:rPr>
          <w:color w:val="000000" w:themeColor="text1"/>
        </w:rPr>
        <w:t>(</w:t>
      </w:r>
      <w:proofErr w:type="spellStart"/>
      <w:r w:rsidRPr="00913756">
        <w:rPr>
          <w:color w:val="000000" w:themeColor="text1"/>
        </w:rPr>
        <w:t>Brimi</w:t>
      </w:r>
      <w:proofErr w:type="spellEnd"/>
      <w:r w:rsidRPr="00913756">
        <w:rPr>
          <w:color w:val="000000" w:themeColor="text1"/>
        </w:rPr>
        <w:t xml:space="preserve">, 2011; </w:t>
      </w:r>
      <w:proofErr w:type="spellStart"/>
      <w:r w:rsidRPr="003B7C47">
        <w:rPr>
          <w:color w:val="000000" w:themeColor="text1"/>
        </w:rPr>
        <w:t>Brookhart</w:t>
      </w:r>
      <w:proofErr w:type="spellEnd"/>
      <w:r w:rsidRPr="003B7C47">
        <w:rPr>
          <w:color w:val="000000" w:themeColor="text1"/>
        </w:rPr>
        <w:t>, 2015)</w:t>
      </w:r>
      <w:r w:rsidRPr="00387ACF">
        <w:rPr>
          <w:color w:val="000000" w:themeColor="text1"/>
        </w:rPr>
        <w:t xml:space="preserve"> and the predictive and concurrent validity of grades in relation to other achievement measures </w:t>
      </w:r>
      <w:r w:rsidR="00BF6736">
        <w:rPr>
          <w:color w:val="000000" w:themeColor="text1"/>
        </w:rPr>
        <w:t>(</w:t>
      </w:r>
      <w:proofErr w:type="spellStart"/>
      <w:r w:rsidR="00BF6736">
        <w:rPr>
          <w:color w:val="000000" w:themeColor="text1"/>
        </w:rPr>
        <w:t>Thorse</w:t>
      </w:r>
      <w:r w:rsidRPr="006F6C11">
        <w:rPr>
          <w:color w:val="000000" w:themeColor="text1"/>
        </w:rPr>
        <w:t>n</w:t>
      </w:r>
      <w:proofErr w:type="spellEnd"/>
      <w:r w:rsidRPr="006F6C11">
        <w:rPr>
          <w:color w:val="000000" w:themeColor="text1"/>
        </w:rPr>
        <w:t>, 2014)</w:t>
      </w:r>
      <w:r w:rsidR="001A230E">
        <w:rPr>
          <w:color w:val="000000" w:themeColor="text1"/>
        </w:rPr>
        <w:t xml:space="preserve">. </w:t>
      </w:r>
      <w:r w:rsidRPr="00387ACF">
        <w:rPr>
          <w:color w:val="000000" w:themeColor="text1"/>
        </w:rPr>
        <w:t xml:space="preserve">One consistent finding across grading literature is that teachers have variable grading practices </w:t>
      </w:r>
      <w:r w:rsidR="00933EC5">
        <w:rPr>
          <w:color w:val="000000" w:themeColor="text1"/>
        </w:rPr>
        <w:t>that involve</w:t>
      </w:r>
      <w:r w:rsidRPr="00387ACF">
        <w:rPr>
          <w:color w:val="000000" w:themeColor="text1"/>
        </w:rPr>
        <w:t xml:space="preserve"> differentially weighting student achievement evidence in relation to non-achievement factors such student effort, work habits, previous achievement, parental expectations, and grade consequences </w:t>
      </w:r>
      <w:r w:rsidRPr="00BF6736">
        <w:rPr>
          <w:color w:val="000000" w:themeColor="text1"/>
        </w:rPr>
        <w:t xml:space="preserve">(McMillan &amp; Nash, 2000; </w:t>
      </w:r>
      <w:r w:rsidRPr="00D3773B">
        <w:rPr>
          <w:color w:val="000000" w:themeColor="text1"/>
        </w:rPr>
        <w:t xml:space="preserve">Randall &amp; Engelhard, 2010; </w:t>
      </w:r>
      <w:proofErr w:type="spellStart"/>
      <w:r w:rsidRPr="00C128C9">
        <w:rPr>
          <w:color w:val="000000" w:themeColor="text1"/>
        </w:rPr>
        <w:t>Stiggins</w:t>
      </w:r>
      <w:proofErr w:type="spellEnd"/>
      <w:r w:rsidRPr="00C128C9">
        <w:rPr>
          <w:color w:val="000000" w:themeColor="text1"/>
        </w:rPr>
        <w:t xml:space="preserve">, </w:t>
      </w:r>
      <w:proofErr w:type="spellStart"/>
      <w:r w:rsidRPr="00C128C9">
        <w:rPr>
          <w:color w:val="000000" w:themeColor="text1"/>
        </w:rPr>
        <w:t>Frisbie</w:t>
      </w:r>
      <w:proofErr w:type="spellEnd"/>
      <w:r w:rsidRPr="00C128C9">
        <w:rPr>
          <w:color w:val="000000" w:themeColor="text1"/>
        </w:rPr>
        <w:t>, &amp; Griswold, 1989</w:t>
      </w:r>
      <w:r w:rsidRPr="00387ACF">
        <w:rPr>
          <w:color w:val="000000" w:themeColor="text1"/>
        </w:rPr>
        <w:t xml:space="preserve">). Grading policies have also been identified as a primary external factor influencing teachers’ grading decisions </w:t>
      </w:r>
      <w:r w:rsidRPr="00C128C9">
        <w:rPr>
          <w:color w:val="000000" w:themeColor="text1"/>
        </w:rPr>
        <w:t>(McMillan &amp; Nash, 2000).</w:t>
      </w:r>
      <w:r w:rsidRPr="00387ACF">
        <w:rPr>
          <w:color w:val="000000" w:themeColor="text1"/>
        </w:rPr>
        <w:t xml:space="preserve"> Previous studies have shown that teachers’ understanding of the meaning and value of grades are influenced by local and government grading policies, especially in standards-based systems of education (</w:t>
      </w:r>
      <w:r w:rsidRPr="001A230E">
        <w:rPr>
          <w:color w:val="000000" w:themeColor="text1"/>
        </w:rPr>
        <w:t xml:space="preserve">Noonan, 2002; Simon, Tierney, </w:t>
      </w:r>
      <w:proofErr w:type="spellStart"/>
      <w:r w:rsidRPr="001A230E">
        <w:rPr>
          <w:color w:val="000000" w:themeColor="text1"/>
        </w:rPr>
        <w:t>Forgette</w:t>
      </w:r>
      <w:proofErr w:type="spellEnd"/>
      <w:r w:rsidRPr="001A230E">
        <w:rPr>
          <w:color w:val="000000" w:themeColor="text1"/>
        </w:rPr>
        <w:t xml:space="preserve">-Giroux, Noonan &amp; Duncan, 2008; </w:t>
      </w:r>
      <w:proofErr w:type="spellStart"/>
      <w:r w:rsidRPr="000F409F">
        <w:rPr>
          <w:color w:val="000000" w:themeColor="text1"/>
        </w:rPr>
        <w:t>Stiggins</w:t>
      </w:r>
      <w:proofErr w:type="spellEnd"/>
      <w:r w:rsidRPr="000F409F">
        <w:rPr>
          <w:color w:val="000000" w:themeColor="text1"/>
        </w:rPr>
        <w:t xml:space="preserve"> et al., 1989</w:t>
      </w:r>
      <w:r w:rsidRPr="00387ACF">
        <w:rPr>
          <w:color w:val="000000" w:themeColor="text1"/>
        </w:rPr>
        <w:t>). Policy-based grading has also been suggested as a means to reduce the variability in teachers’ grading practices leading to more consistent grade decisi</w:t>
      </w:r>
      <w:r>
        <w:rPr>
          <w:color w:val="000000" w:themeColor="text1"/>
        </w:rPr>
        <w:t>ons</w:t>
      </w:r>
      <w:r w:rsidRPr="00387ACF">
        <w:rPr>
          <w:color w:val="000000" w:themeColor="text1"/>
        </w:rPr>
        <w:t>.</w:t>
      </w:r>
    </w:p>
    <w:p w14:paraId="3C441D25" w14:textId="7E274170" w:rsidR="00387ACF" w:rsidRPr="00525D61" w:rsidRDefault="00387ACF" w:rsidP="00801D8B">
      <w:pPr>
        <w:spacing w:line="480" w:lineRule="auto"/>
        <w:ind w:firstLine="709"/>
      </w:pPr>
      <w:r w:rsidRPr="00387ACF">
        <w:rPr>
          <w:color w:val="000000" w:themeColor="text1"/>
        </w:rPr>
        <w:t xml:space="preserve">Within the Canadian context, each province and territory has adopted a standards-based framework of education, with grades serving as the primary and most consistent metric for reporting student achievement. However, due to the provincial/territorial </w:t>
      </w:r>
      <w:r w:rsidR="00F82A04">
        <w:rPr>
          <w:color w:val="000000" w:themeColor="text1"/>
        </w:rPr>
        <w:t xml:space="preserve">responsibility </w:t>
      </w:r>
      <w:r w:rsidRPr="00387ACF">
        <w:rPr>
          <w:color w:val="000000" w:themeColor="text1"/>
        </w:rPr>
        <w:t xml:space="preserve">of </w:t>
      </w:r>
      <w:r w:rsidRPr="00387ACF">
        <w:rPr>
          <w:color w:val="000000" w:themeColor="text1"/>
        </w:rPr>
        <w:lastRenderedPageBreak/>
        <w:t xml:space="preserve">education throughout Canada, the grading policies across the country vary. The purpose of this landscape study is to provide comprehensive information on the scope and content of grading policies across </w:t>
      </w:r>
      <w:r w:rsidR="00170AED">
        <w:rPr>
          <w:color w:val="000000" w:themeColor="text1"/>
        </w:rPr>
        <w:t>the 13 standards-based</w:t>
      </w:r>
      <w:r w:rsidRPr="00387ACF">
        <w:rPr>
          <w:color w:val="000000" w:themeColor="text1"/>
        </w:rPr>
        <w:t xml:space="preserve"> systems of education in Canada.</w:t>
      </w:r>
      <w:r w:rsidR="00487489">
        <w:rPr>
          <w:color w:val="000000" w:themeColor="text1"/>
        </w:rPr>
        <w:t xml:space="preserve"> </w:t>
      </w:r>
      <w:r w:rsidR="00947962">
        <w:rPr>
          <w:color w:val="000000" w:themeColor="text1"/>
        </w:rPr>
        <w:t>Thus this study considers the</w:t>
      </w:r>
      <w:r w:rsidR="00170AED">
        <w:rPr>
          <w:color w:val="000000" w:themeColor="text1"/>
        </w:rPr>
        <w:t xml:space="preserve"> degree of</w:t>
      </w:r>
      <w:r w:rsidR="00947962">
        <w:rPr>
          <w:color w:val="000000" w:themeColor="text1"/>
        </w:rPr>
        <w:t xml:space="preserve"> </w:t>
      </w:r>
      <w:r w:rsidR="00170AED">
        <w:rPr>
          <w:color w:val="000000" w:themeColor="text1"/>
        </w:rPr>
        <w:t>variation in</w:t>
      </w:r>
      <w:r w:rsidR="00947962">
        <w:rPr>
          <w:color w:val="000000" w:themeColor="text1"/>
        </w:rPr>
        <w:t xml:space="preserve"> grading policies </w:t>
      </w:r>
      <w:r w:rsidR="00170AED">
        <w:rPr>
          <w:color w:val="000000" w:themeColor="text1"/>
        </w:rPr>
        <w:t xml:space="preserve">and the consistency of grades </w:t>
      </w:r>
      <w:r w:rsidR="00947962">
        <w:rPr>
          <w:color w:val="000000" w:themeColor="text1"/>
        </w:rPr>
        <w:t xml:space="preserve">across the </w:t>
      </w:r>
      <w:r w:rsidR="00170AED">
        <w:rPr>
          <w:color w:val="000000" w:themeColor="text1"/>
        </w:rPr>
        <w:t>country</w:t>
      </w:r>
      <w:r w:rsidR="00947962">
        <w:rPr>
          <w:color w:val="000000" w:themeColor="text1"/>
        </w:rPr>
        <w:t xml:space="preserve">. </w:t>
      </w:r>
      <w:r w:rsidR="00947962">
        <w:t>U</w:t>
      </w:r>
      <w:r w:rsidR="00947962">
        <w:t xml:space="preserve">nderstanding </w:t>
      </w:r>
      <w:r w:rsidR="00170AED">
        <w:t xml:space="preserve">grade consistency </w:t>
      </w:r>
      <w:r w:rsidR="00947962">
        <w:t>has become</w:t>
      </w:r>
      <w:r w:rsidR="00947962">
        <w:t xml:space="preserve"> </w:t>
      </w:r>
      <w:r w:rsidR="00170AED">
        <w:t xml:space="preserve">increasingly important give the growing use of grades for high-stakes decisions including </w:t>
      </w:r>
      <w:r w:rsidR="00947962">
        <w:t xml:space="preserve">student mobility, admission, selection, </w:t>
      </w:r>
      <w:r w:rsidR="00170AED">
        <w:t>and accountability.</w:t>
      </w:r>
      <w:r w:rsidR="00170AED" w:rsidRPr="00387ACF">
        <w:rPr>
          <w:color w:val="000000" w:themeColor="text1"/>
        </w:rPr>
        <w:t xml:space="preserve"> </w:t>
      </w:r>
      <w:r w:rsidRPr="00387ACF">
        <w:rPr>
          <w:color w:val="000000" w:themeColor="text1"/>
        </w:rPr>
        <w:t xml:space="preserve">Through a document analysis of ministry-based policies from </w:t>
      </w:r>
      <w:r w:rsidR="00F82A04">
        <w:rPr>
          <w:color w:val="000000" w:themeColor="text1"/>
        </w:rPr>
        <w:t>all</w:t>
      </w:r>
      <w:r w:rsidR="007929EE">
        <w:rPr>
          <w:color w:val="000000" w:themeColor="text1"/>
        </w:rPr>
        <w:t xml:space="preserve"> </w:t>
      </w:r>
      <w:r w:rsidRPr="00387ACF">
        <w:rPr>
          <w:color w:val="000000" w:themeColor="text1"/>
        </w:rPr>
        <w:t>10 provinces and 3 territories</w:t>
      </w:r>
      <w:r w:rsidR="00F82A04">
        <w:rPr>
          <w:color w:val="000000" w:themeColor="text1"/>
        </w:rPr>
        <w:t xml:space="preserve"> in Canada</w:t>
      </w:r>
      <w:r w:rsidRPr="00387ACF">
        <w:rPr>
          <w:color w:val="000000" w:themeColor="text1"/>
        </w:rPr>
        <w:t>, grading policies were analyzed for their (a) articulated purpose of grading, (b) method of grade construction, and (c) grade</w:t>
      </w:r>
      <w:r w:rsidRPr="00525D61">
        <w:t xml:space="preserve"> composition.</w:t>
      </w:r>
      <w:r w:rsidR="00933EC5">
        <w:t xml:space="preserve"> The results of this systematic review </w:t>
      </w:r>
      <w:r w:rsidR="00170AED">
        <w:t>identified</w:t>
      </w:r>
      <w:r w:rsidR="00933EC5">
        <w:t xml:space="preserve"> key grading policy directives across Canada, with areas of consistency and inconsistency. The paper concludes with future directions for grading research, policy development, and practice.</w:t>
      </w:r>
    </w:p>
    <w:p w14:paraId="2CA83C95" w14:textId="2DEE8577" w:rsidR="001509FC" w:rsidRDefault="001509FC" w:rsidP="00801D8B">
      <w:pPr>
        <w:spacing w:line="480" w:lineRule="auto"/>
        <w:jc w:val="center"/>
        <w:outlineLvl w:val="0"/>
        <w:rPr>
          <w:b/>
        </w:rPr>
      </w:pPr>
      <w:r>
        <w:rPr>
          <w:b/>
        </w:rPr>
        <w:t>Education in Canada</w:t>
      </w:r>
    </w:p>
    <w:p w14:paraId="68AE8AF5" w14:textId="368EB1DC" w:rsidR="00741B72" w:rsidRDefault="00F82A04" w:rsidP="00801D8B">
      <w:pPr>
        <w:widowControl w:val="0"/>
        <w:autoSpaceDE w:val="0"/>
        <w:autoSpaceDN w:val="0"/>
        <w:adjustRightInd w:val="0"/>
        <w:spacing w:line="480" w:lineRule="auto"/>
        <w:ind w:firstLine="720"/>
      </w:pPr>
      <w:r>
        <w:t>El</w:t>
      </w:r>
      <w:r w:rsidR="00933EC5">
        <w:t xml:space="preserve">ementary </w:t>
      </w:r>
      <w:r w:rsidR="00741B72" w:rsidRPr="00674BE1">
        <w:t>education began in eastern Canada during the 1850’s</w:t>
      </w:r>
      <w:r w:rsidR="00741B72">
        <w:t xml:space="preserve"> with the</w:t>
      </w:r>
      <w:r w:rsidR="00741B72" w:rsidRPr="00674BE1">
        <w:t xml:space="preserve"> need for s</w:t>
      </w:r>
      <w:r w:rsidR="00741B72">
        <w:t>econdary level schooling emerging in the second half of the 19</w:t>
      </w:r>
      <w:r w:rsidR="00741B72" w:rsidRPr="00674BE1">
        <w:rPr>
          <w:vertAlign w:val="superscript"/>
        </w:rPr>
        <w:t>th</w:t>
      </w:r>
      <w:r w:rsidR="00741B72">
        <w:t xml:space="preserve"> century</w:t>
      </w:r>
      <w:r w:rsidR="00741B72" w:rsidRPr="00674BE1">
        <w:t xml:space="preserve"> </w:t>
      </w:r>
      <w:r w:rsidR="00741B72" w:rsidRPr="00C93B21">
        <w:t>(Nagy, 2000).</w:t>
      </w:r>
      <w:r w:rsidR="00741B72" w:rsidRPr="00674BE1">
        <w:t xml:space="preserve"> </w:t>
      </w:r>
      <w:r w:rsidR="00741B72">
        <w:t>In the early years, there was an emphasis on educating the upper social class with a focus on academic standards. Between 1846-1876, Dr. Egerton Ryerson, Chief Superintended of Education for Ontario, shaped education in Upper Canada towards public instruction drawing on practices from Europe, the British Isles, and the United States</w:t>
      </w:r>
      <w:r w:rsidR="00741B72" w:rsidRPr="00301197">
        <w:t xml:space="preserve"> (</w:t>
      </w:r>
      <w:r w:rsidR="00741B72" w:rsidRPr="004F65E6">
        <w:t>Ryerson, 1868</w:t>
      </w:r>
      <w:r w:rsidR="00741B72" w:rsidRPr="00301197">
        <w:t>).</w:t>
      </w:r>
      <w:r w:rsidR="00741B72">
        <w:t xml:space="preserve"> </w:t>
      </w:r>
    </w:p>
    <w:p w14:paraId="0B15D743" w14:textId="2E7634A8" w:rsidR="00741B72" w:rsidRDefault="00741B72" w:rsidP="00801D8B">
      <w:pPr>
        <w:widowControl w:val="0"/>
        <w:autoSpaceDE w:val="0"/>
        <w:autoSpaceDN w:val="0"/>
        <w:adjustRightInd w:val="0"/>
        <w:spacing w:line="480" w:lineRule="auto"/>
        <w:ind w:firstLine="720"/>
      </w:pPr>
      <w:r w:rsidRPr="00AE65EB">
        <w:t>Today, Canada’s education system</w:t>
      </w:r>
      <w:r>
        <w:t xml:space="preserve"> is publically funded and accessible to all children</w:t>
      </w:r>
      <w:r w:rsidR="007929EE">
        <w:t xml:space="preserve"> </w:t>
      </w:r>
      <w:r w:rsidR="00F82A04">
        <w:t>up to G</w:t>
      </w:r>
      <w:r w:rsidR="007929EE">
        <w:t>rade 12</w:t>
      </w:r>
      <w:r>
        <w:t xml:space="preserve">, with compulsory elementary </w:t>
      </w:r>
      <w:r w:rsidRPr="00674BE1">
        <w:t>schooling</w:t>
      </w:r>
      <w:r w:rsidR="00933EC5">
        <w:t xml:space="preserve"> typically</w:t>
      </w:r>
      <w:r>
        <w:t xml:space="preserve"> beginning in Kindergarten (ages 4-5). Education in Canada is d</w:t>
      </w:r>
      <w:r w:rsidRPr="00674BE1">
        <w:t xml:space="preserve">ecentralized </w:t>
      </w:r>
      <w:r>
        <w:t>with each of the 10 provinces and 3 territories responsible for the educational system within its jurisdiction</w:t>
      </w:r>
      <w:r w:rsidRPr="00674BE1">
        <w:t xml:space="preserve"> (</w:t>
      </w:r>
      <w:proofErr w:type="spellStart"/>
      <w:r w:rsidRPr="00BA2E27">
        <w:t>Volante</w:t>
      </w:r>
      <w:proofErr w:type="spellEnd"/>
      <w:r w:rsidRPr="00BA2E27">
        <w:t xml:space="preserve"> &amp; </w:t>
      </w:r>
      <w:proofErr w:type="spellStart"/>
      <w:r w:rsidRPr="00BA2E27">
        <w:t>Jaafar</w:t>
      </w:r>
      <w:proofErr w:type="spellEnd"/>
      <w:r w:rsidRPr="00BA2E27">
        <w:t>, 2008).</w:t>
      </w:r>
      <w:r w:rsidRPr="00674BE1">
        <w:t xml:space="preserve"> </w:t>
      </w:r>
      <w:r>
        <w:t xml:space="preserve">Each of </w:t>
      </w:r>
      <w:r>
        <w:lastRenderedPageBreak/>
        <w:t>the 13 systems has its own educational policies governing educational standards, curriculum, classroom practices, assessment, and grading; however, t</w:t>
      </w:r>
      <w:r w:rsidRPr="00674BE1">
        <w:t xml:space="preserve">he nature of these policies is </w:t>
      </w:r>
      <w:r w:rsidR="008304CF">
        <w:t xml:space="preserve">typically </w:t>
      </w:r>
      <w:r w:rsidRPr="00674BE1">
        <w:t xml:space="preserve">not prescriptive, </w:t>
      </w:r>
      <w:r>
        <w:t>leaving</w:t>
      </w:r>
      <w:r w:rsidRPr="00674BE1">
        <w:t xml:space="preserve"> a </w:t>
      </w:r>
      <w:r w:rsidRPr="00AE65EB">
        <w:t>range of possible interpretations for guiding assessment</w:t>
      </w:r>
      <w:r w:rsidRPr="008304CF">
        <w:t xml:space="preserve"> </w:t>
      </w:r>
      <w:r w:rsidR="00F82A04">
        <w:t>across</w:t>
      </w:r>
      <w:r w:rsidR="00F82A04" w:rsidRPr="008304CF">
        <w:t xml:space="preserve"> </w:t>
      </w:r>
      <w:r w:rsidRPr="008304CF">
        <w:t xml:space="preserve">schools. </w:t>
      </w:r>
    </w:p>
    <w:p w14:paraId="5FEFE6C0" w14:textId="00E513EF" w:rsidR="00741B72" w:rsidRDefault="00741B72" w:rsidP="00801D8B">
      <w:pPr>
        <w:widowControl w:val="0"/>
        <w:autoSpaceDE w:val="0"/>
        <w:autoSpaceDN w:val="0"/>
        <w:adjustRightInd w:val="0"/>
        <w:spacing w:line="480" w:lineRule="auto"/>
        <w:ind w:firstLine="720"/>
      </w:pPr>
      <w:r>
        <w:t>Unlike other countries, t</w:t>
      </w:r>
      <w:r w:rsidRPr="00674BE1">
        <w:t>here is no</w:t>
      </w:r>
      <w:r>
        <w:t xml:space="preserve"> national policy</w:t>
      </w:r>
      <w:r w:rsidRPr="00674BE1">
        <w:t xml:space="preserve"> that </w:t>
      </w:r>
      <w:r>
        <w:t>establishe</w:t>
      </w:r>
      <w:r w:rsidR="008304CF">
        <w:t xml:space="preserve">s </w:t>
      </w:r>
      <w:r>
        <w:t>a country-wide curriculum for students and teachers in Canada (e.g., Common Core Standards in the United States)</w:t>
      </w:r>
      <w:r w:rsidRPr="00674BE1">
        <w:t xml:space="preserve">. </w:t>
      </w:r>
      <w:r>
        <w:t>Instead, e</w:t>
      </w:r>
      <w:r w:rsidRPr="00674BE1">
        <w:t>ach provincial and territorial ministry of education assumes responsibility for overseeing compulsory elementary and secondary schooling through smaller bodies called boards or districts of education (</w:t>
      </w:r>
      <w:proofErr w:type="spellStart"/>
      <w:r w:rsidRPr="00BA2E27">
        <w:t>Volante</w:t>
      </w:r>
      <w:proofErr w:type="spellEnd"/>
      <w:r w:rsidRPr="00BA2E27">
        <w:t xml:space="preserve"> &amp; </w:t>
      </w:r>
      <w:proofErr w:type="spellStart"/>
      <w:r w:rsidRPr="00BA2E27">
        <w:t>Jaafar</w:t>
      </w:r>
      <w:proofErr w:type="spellEnd"/>
      <w:r w:rsidRPr="00BA2E27">
        <w:t>, 2008).</w:t>
      </w:r>
      <w:r>
        <w:t xml:space="preserve"> As such, grading policies are established by ministries of education with enactment occurring through local school boards and districts under the</w:t>
      </w:r>
      <w:r w:rsidRPr="00674BE1">
        <w:t xml:space="preserve"> professional discretion of educational </w:t>
      </w:r>
      <w:r w:rsidRPr="007F6174">
        <w:t>leaders (Scott</w:t>
      </w:r>
      <w:r w:rsidR="008304CF" w:rsidRPr="007F6174">
        <w:t>,</w:t>
      </w:r>
      <w:r w:rsidRPr="007F6174">
        <w:t xml:space="preserve"> 1995).</w:t>
      </w:r>
    </w:p>
    <w:p w14:paraId="345005A3" w14:textId="175A79D5" w:rsidR="00741B72" w:rsidRPr="00CC00D8" w:rsidRDefault="00741B72" w:rsidP="00801D8B">
      <w:pPr>
        <w:widowControl w:val="0"/>
        <w:autoSpaceDE w:val="0"/>
        <w:autoSpaceDN w:val="0"/>
        <w:adjustRightInd w:val="0"/>
        <w:spacing w:line="480" w:lineRule="auto"/>
        <w:ind w:firstLine="720"/>
      </w:pPr>
      <w:r>
        <w:t>In general, the education system in Canada is one that is predicated on standards and accountability. Standards-based grades are assigned based on a criterion-referenced framework where students’ performance is compared to established standards</w:t>
      </w:r>
      <w:r w:rsidR="008304CF">
        <w:t xml:space="preserve">, which differs </w:t>
      </w:r>
      <w:r w:rsidRPr="003C4FDD">
        <w:t>from norm-referenced grading where the purpose is to rank students</w:t>
      </w:r>
      <w:r w:rsidR="008304CF">
        <w:t xml:space="preserve"> </w:t>
      </w:r>
      <w:r w:rsidRPr="003C4FDD">
        <w:t xml:space="preserve">or </w:t>
      </w:r>
      <w:r w:rsidR="008304CF">
        <w:t xml:space="preserve">from </w:t>
      </w:r>
      <w:r w:rsidRPr="003C4FDD">
        <w:t>self-referenced grading where the purpose is to support ind</w:t>
      </w:r>
      <w:r>
        <w:t>ividual learning</w:t>
      </w:r>
      <w:r w:rsidRPr="00DD747E">
        <w:t>.</w:t>
      </w:r>
      <w:r>
        <w:t xml:space="preserve"> Non-achievement factors such as learning skills (e.g.</w:t>
      </w:r>
      <w:r w:rsidR="00F82A04">
        <w:t>,</w:t>
      </w:r>
      <w:r>
        <w:t xml:space="preserve"> organization</w:t>
      </w:r>
      <w:r w:rsidR="00F82A04">
        <w:t>, collaboration, self-regulation</w:t>
      </w:r>
      <w:r>
        <w:t>) are reported separately from</w:t>
      </w:r>
      <w:r w:rsidR="00F82A04">
        <w:t xml:space="preserve"> content</w:t>
      </w:r>
      <w:r>
        <w:t xml:space="preserve"> grades </w:t>
      </w:r>
      <w:r w:rsidRPr="00C30190">
        <w:t>(Tierney</w:t>
      </w:r>
      <w:r w:rsidR="00C30190" w:rsidRPr="00C30190">
        <w:t xml:space="preserve">, </w:t>
      </w:r>
      <w:r w:rsidR="00C30190" w:rsidRPr="00C30190">
        <w:rPr>
          <w:color w:val="000000" w:themeColor="text1"/>
        </w:rPr>
        <w:t xml:space="preserve">Simon </w:t>
      </w:r>
      <w:r w:rsidR="00986DCE" w:rsidRPr="00C30190">
        <w:rPr>
          <w:color w:val="000000" w:themeColor="text1"/>
        </w:rPr>
        <w:t xml:space="preserve">&amp; </w:t>
      </w:r>
      <w:proofErr w:type="spellStart"/>
      <w:r w:rsidR="00986DCE" w:rsidRPr="00C30190">
        <w:rPr>
          <w:color w:val="000000" w:themeColor="text1"/>
        </w:rPr>
        <w:t>Charland</w:t>
      </w:r>
      <w:proofErr w:type="spellEnd"/>
      <w:r w:rsidRPr="00C30190">
        <w:t>, 2011</w:t>
      </w:r>
      <w:r>
        <w:t xml:space="preserve">). </w:t>
      </w:r>
      <w:r w:rsidR="008304CF">
        <w:t>In upper years, a portion of students’ course grades can be based on provincial testing, although this practice is highly variable across the country</w:t>
      </w:r>
      <w:r>
        <w:t xml:space="preserve"> </w:t>
      </w:r>
      <w:r w:rsidRPr="000317A1">
        <w:t>(</w:t>
      </w:r>
      <w:r w:rsidR="00BE1BF3">
        <w:t>Author</w:t>
      </w:r>
      <w:r w:rsidRPr="000317A1">
        <w:t>).</w:t>
      </w:r>
      <w:r>
        <w:t xml:space="preserve"> Concurrently with thi</w:t>
      </w:r>
      <w:r w:rsidR="00F74994">
        <w:t>s</w:t>
      </w:r>
      <w:r>
        <w:t xml:space="preserve"> emphasis on standards and accountability, in recent years, educational assessment policies throughout Canada have also expanded to include explicit mandates </w:t>
      </w:r>
      <w:r w:rsidRPr="00F74994">
        <w:t xml:space="preserve">towards </w:t>
      </w:r>
      <w:r w:rsidRPr="00AE65EB">
        <w:t>assessment for learning</w:t>
      </w:r>
      <w:r w:rsidR="006E088E">
        <w:t xml:space="preserve"> (AFL)</w:t>
      </w:r>
      <w:r>
        <w:t xml:space="preserve">. These mandates emphasize the use of formative assessments to provide ongoing feedback to support student learning in addition to the continued use of </w:t>
      </w:r>
      <w:r>
        <w:lastRenderedPageBreak/>
        <w:t>summative assessments for standards-based grading purposes and large-scale assessments for accountability purposes.</w:t>
      </w:r>
    </w:p>
    <w:p w14:paraId="18A1E798" w14:textId="549405D0" w:rsidR="00525D61" w:rsidRPr="00863FFF" w:rsidRDefault="00BE7B54" w:rsidP="00801D8B">
      <w:pPr>
        <w:spacing w:line="480" w:lineRule="auto"/>
        <w:jc w:val="center"/>
        <w:outlineLvl w:val="0"/>
        <w:rPr>
          <w:b/>
        </w:rPr>
      </w:pPr>
      <w:r>
        <w:rPr>
          <w:b/>
        </w:rPr>
        <w:t>Grading</w:t>
      </w:r>
    </w:p>
    <w:p w14:paraId="16E2144E" w14:textId="73DF3426" w:rsidR="00711757" w:rsidRDefault="004B5429" w:rsidP="00801D8B">
      <w:pPr>
        <w:widowControl w:val="0"/>
        <w:autoSpaceDE w:val="0"/>
        <w:autoSpaceDN w:val="0"/>
        <w:adjustRightInd w:val="0"/>
        <w:spacing w:line="480" w:lineRule="auto"/>
        <w:ind w:firstLine="709"/>
      </w:pPr>
      <w:r w:rsidRPr="00525D61">
        <w:t xml:space="preserve">Grading is a complex evaluative practice that requires teachers to make judgments about student learning. </w:t>
      </w:r>
      <w:r w:rsidR="001509FC" w:rsidRPr="00525D61">
        <w:t xml:space="preserve">In Canada, grades </w:t>
      </w:r>
      <w:r w:rsidR="00BE7B54">
        <w:t>are generally</w:t>
      </w:r>
      <w:r w:rsidR="001509FC" w:rsidRPr="00525D61">
        <w:t xml:space="preserve"> intended to communicate student achievement in relation to provincial educational standards (</w:t>
      </w:r>
      <w:proofErr w:type="spellStart"/>
      <w:r w:rsidR="001509FC" w:rsidRPr="00BA4204">
        <w:t>Volante</w:t>
      </w:r>
      <w:proofErr w:type="spellEnd"/>
      <w:r w:rsidR="00711757" w:rsidRPr="00BA4204">
        <w:t xml:space="preserve"> &amp; </w:t>
      </w:r>
      <w:proofErr w:type="spellStart"/>
      <w:r w:rsidR="00711757" w:rsidRPr="00BA4204">
        <w:t>Jaafar</w:t>
      </w:r>
      <w:proofErr w:type="spellEnd"/>
      <w:r w:rsidR="00711757" w:rsidRPr="00BA4204">
        <w:t>, 2008</w:t>
      </w:r>
      <w:r w:rsidR="00711757">
        <w:t>). Across Canada, teachers are expected to follow provincial policies in generating student grades (i.e., policy-based grading</w:t>
      </w:r>
      <w:r w:rsidR="00711757" w:rsidRPr="00BA4204">
        <w:t xml:space="preserve">; Noonan, 2002). However, due to the decentralized nature of educational policies </w:t>
      </w:r>
      <w:r w:rsidRPr="00BA4204">
        <w:t xml:space="preserve">in </w:t>
      </w:r>
      <w:r w:rsidR="00711757" w:rsidRPr="00BA4204">
        <w:t>Canada and the contextual, socio-cultural, and personal conditions that shape teachers’ grading decisions (</w:t>
      </w:r>
      <w:proofErr w:type="spellStart"/>
      <w:r w:rsidR="00711757" w:rsidRPr="00BA4204">
        <w:t>Brookhart</w:t>
      </w:r>
      <w:proofErr w:type="spellEnd"/>
      <w:r w:rsidR="00711757" w:rsidRPr="00BA4204">
        <w:t>, 2003, 2013; McMillan &amp; Nash, 2000; Randall &amp; Engelhard, 2010),</w:t>
      </w:r>
      <w:r w:rsidR="00711757">
        <w:t xml:space="preserve"> </w:t>
      </w:r>
      <w:r w:rsidR="00711757" w:rsidRPr="002D1B6E">
        <w:t xml:space="preserve">research suggests significant variability in grading practices from one jurisdiction to the next (Simon, Tierney, </w:t>
      </w:r>
      <w:proofErr w:type="spellStart"/>
      <w:r w:rsidR="00711757" w:rsidRPr="002D1B6E">
        <w:t>Forgette</w:t>
      </w:r>
      <w:proofErr w:type="spellEnd"/>
      <w:r w:rsidR="00711757" w:rsidRPr="002D1B6E">
        <w:t>-Giroux, Noonan &amp; Duncan, 2008). Previous research on grading, largely conducting in the</w:t>
      </w:r>
      <w:r w:rsidR="00711757">
        <w:t xml:space="preserve"> US and UK, suggests </w:t>
      </w:r>
      <w:r w:rsidR="005242B3">
        <w:t>that three key considerations influence the consistency of grades across contexts</w:t>
      </w:r>
      <w:r w:rsidR="00776CD5">
        <w:t>: (</w:t>
      </w:r>
      <w:r w:rsidR="005242B3">
        <w:t>a) What is included in grades?; (b</w:t>
      </w:r>
      <w:r w:rsidR="005242B3">
        <w:t xml:space="preserve">) </w:t>
      </w:r>
      <w:r w:rsidR="005242B3">
        <w:t>How are grades reported? and (c) What is the relationship between f</w:t>
      </w:r>
      <w:r w:rsidR="005242B3">
        <w:t xml:space="preserve">ormative </w:t>
      </w:r>
      <w:r w:rsidR="005242B3">
        <w:t>assessment and grades?</w:t>
      </w:r>
    </w:p>
    <w:p w14:paraId="23927498" w14:textId="6EAF8177" w:rsidR="00BA13D2" w:rsidRPr="001065F5" w:rsidRDefault="005413DA" w:rsidP="00801D8B">
      <w:pPr>
        <w:widowControl w:val="0"/>
        <w:autoSpaceDE w:val="0"/>
        <w:autoSpaceDN w:val="0"/>
        <w:adjustRightInd w:val="0"/>
        <w:spacing w:line="480" w:lineRule="auto"/>
        <w:outlineLvl w:val="0"/>
        <w:rPr>
          <w:b/>
        </w:rPr>
      </w:pPr>
      <w:r>
        <w:rPr>
          <w:b/>
        </w:rPr>
        <w:t>What is Included in Grade?</w:t>
      </w:r>
    </w:p>
    <w:p w14:paraId="76414425" w14:textId="5EE3CE78" w:rsidR="00A17F03" w:rsidRPr="00525D61" w:rsidRDefault="00A17F03" w:rsidP="00801D8B">
      <w:pPr>
        <w:spacing w:line="480" w:lineRule="auto"/>
        <w:ind w:firstLine="709"/>
      </w:pPr>
      <w:r w:rsidRPr="00525D61">
        <w:t>Although achievement is the primary factor considered in grading</w:t>
      </w:r>
      <w:r w:rsidR="001065F5">
        <w:t xml:space="preserve"> across Canadian contexts</w:t>
      </w:r>
      <w:r w:rsidRPr="00525D61">
        <w:t>,</w:t>
      </w:r>
      <w:r w:rsidR="001065F5">
        <w:t xml:space="preserve"> research has shown that teachers also value non-achievement factors when constructing grades</w:t>
      </w:r>
      <w:r w:rsidRPr="00525D61">
        <w:t xml:space="preserve">. </w:t>
      </w:r>
      <w:r w:rsidRPr="00536548">
        <w:t xml:space="preserve">McMillan (2008) suggested that one of </w:t>
      </w:r>
      <w:r w:rsidRPr="0053459A">
        <w:t>the most difficult issues in grading is how to deal with non-achievement factors such as effort, work habits</w:t>
      </w:r>
      <w:r w:rsidR="001065F5" w:rsidRPr="0053459A">
        <w:t>,</w:t>
      </w:r>
      <w:r w:rsidRPr="0053459A">
        <w:t xml:space="preserve"> and motivation. Consistent with McMillan and Nash’s (2000) work, these non-achievement factors are </w:t>
      </w:r>
      <w:r w:rsidR="001065F5" w:rsidRPr="0053459A">
        <w:t>a</w:t>
      </w:r>
      <w:r w:rsidRPr="0053459A">
        <w:t xml:space="preserve"> major influence on grading practices because they are traits that teachers cultivate and regard as important for student achievement. In an examination of how US English teachers attempted to assign fair </w:t>
      </w:r>
      <w:r w:rsidRPr="0053459A">
        <w:lastRenderedPageBreak/>
        <w:t xml:space="preserve">grades, </w:t>
      </w:r>
      <w:proofErr w:type="spellStart"/>
      <w:r w:rsidRPr="0053459A">
        <w:t>Zoeckler</w:t>
      </w:r>
      <w:proofErr w:type="spellEnd"/>
      <w:r w:rsidRPr="0053459A">
        <w:t xml:space="preserve"> (2007) found that teachers’ perceptions of student effort influenced their grading decisions. Similarly, in a survey of 516 teachers in the USA, Randall and Engelhard (2010) found that teachers generally followed district grading policies by assigning grades</w:t>
      </w:r>
      <w:r w:rsidR="001065F5" w:rsidRPr="0053459A">
        <w:t xml:space="preserve"> based primarily on achievement; h</w:t>
      </w:r>
      <w:r w:rsidRPr="0053459A">
        <w:t xml:space="preserve">owever, in some cases, </w:t>
      </w:r>
      <w:r w:rsidR="001065F5" w:rsidRPr="0053459A">
        <w:t>they</w:t>
      </w:r>
      <w:r w:rsidRPr="0053459A">
        <w:t xml:space="preserve"> found that teachers tended to value other characteristics such as ability, </w:t>
      </w:r>
      <w:r w:rsidR="001065F5" w:rsidRPr="0053459A">
        <w:t>behavior,</w:t>
      </w:r>
      <w:r w:rsidRPr="0053459A">
        <w:t xml:space="preserve"> and effort</w:t>
      </w:r>
      <w:r w:rsidR="001065F5" w:rsidRPr="0053459A">
        <w:t>, especially in borderline</w:t>
      </w:r>
      <w:r w:rsidR="001065F5">
        <w:t xml:space="preserve"> grade decisions. In the Canadian context, </w:t>
      </w:r>
      <w:r w:rsidRPr="00F5148A">
        <w:t xml:space="preserve">Simon, </w:t>
      </w:r>
      <w:proofErr w:type="spellStart"/>
      <w:r w:rsidRPr="00F5148A">
        <w:t>Chitpin</w:t>
      </w:r>
      <w:proofErr w:type="spellEnd"/>
      <w:r w:rsidR="001065F5" w:rsidRPr="00F5148A">
        <w:t>,</w:t>
      </w:r>
      <w:r w:rsidRPr="00F5148A">
        <w:t xml:space="preserve"> and </w:t>
      </w:r>
      <w:proofErr w:type="spellStart"/>
      <w:r w:rsidRPr="00F5148A">
        <w:t>Yahya</w:t>
      </w:r>
      <w:proofErr w:type="spellEnd"/>
      <w:r w:rsidRPr="00F5148A">
        <w:t xml:space="preserve"> (2010)</w:t>
      </w:r>
      <w:r w:rsidRPr="00525D61">
        <w:t xml:space="preserve"> found that pre-service teachers </w:t>
      </w:r>
      <w:r w:rsidR="001065F5">
        <w:t xml:space="preserve">consistently </w:t>
      </w:r>
      <w:r w:rsidRPr="00525D61">
        <w:t xml:space="preserve">based grading decisions in part on non-achievement factors. </w:t>
      </w:r>
    </w:p>
    <w:p w14:paraId="09694F5C" w14:textId="385BF768" w:rsidR="00BC348F" w:rsidRDefault="007D1F3A" w:rsidP="00801D8B">
      <w:pPr>
        <w:widowControl w:val="0"/>
        <w:autoSpaceDE w:val="0"/>
        <w:autoSpaceDN w:val="0"/>
        <w:adjustRightInd w:val="0"/>
        <w:spacing w:line="480" w:lineRule="auto"/>
        <w:ind w:firstLine="709"/>
      </w:pPr>
      <w:r>
        <w:t xml:space="preserve">Increased professional development in the area of assessment and grading supports teachers’ understandings of grading but does not </w:t>
      </w:r>
      <w:r w:rsidR="004B1587">
        <w:t xml:space="preserve">appear to </w:t>
      </w:r>
      <w:r>
        <w:t>fully reduce the influence of non-achiev</w:t>
      </w:r>
      <w:r w:rsidR="004B1587">
        <w:t>e</w:t>
      </w:r>
      <w:r>
        <w:t xml:space="preserve">ment factors in grade decisions. For example, </w:t>
      </w:r>
      <w:proofErr w:type="spellStart"/>
      <w:r w:rsidRPr="00E25618">
        <w:t>McMunn</w:t>
      </w:r>
      <w:proofErr w:type="spellEnd"/>
      <w:r w:rsidRPr="00E25618">
        <w:t xml:space="preserve">, </w:t>
      </w:r>
      <w:proofErr w:type="spellStart"/>
      <w:r w:rsidR="003A023D" w:rsidRPr="00E25618">
        <w:t>McColskey</w:t>
      </w:r>
      <w:proofErr w:type="spellEnd"/>
      <w:r w:rsidR="003A023D" w:rsidRPr="00E25618">
        <w:t>, &amp; Butler (2004</w:t>
      </w:r>
      <w:r w:rsidRPr="00E25618">
        <w:t>)</w:t>
      </w:r>
      <w:r w:rsidR="00A17F03" w:rsidRPr="00525D61">
        <w:t xml:space="preserve"> </w:t>
      </w:r>
      <w:r>
        <w:t>examined 241 Florida teachers’ grading practices after completing professional development program in assessment. In total,</w:t>
      </w:r>
      <w:r w:rsidR="00A17F03" w:rsidRPr="00525D61">
        <w:t xml:space="preserve"> 75% of teachers reported that they assigned grades based on achievement of standards rather than</w:t>
      </w:r>
      <w:r>
        <w:t xml:space="preserve"> on non-achievement factors such as</w:t>
      </w:r>
      <w:r w:rsidR="00A17F03" w:rsidRPr="00525D61">
        <w:t xml:space="preserve"> motivation. However, observations in classrooms and examination of artifacts indicated that many teachers did not </w:t>
      </w:r>
      <w:r>
        <w:t>actually</w:t>
      </w:r>
      <w:r w:rsidR="00A17F03" w:rsidRPr="00525D61">
        <w:t xml:space="preserve"> </w:t>
      </w:r>
      <w:r>
        <w:t xml:space="preserve">generate </w:t>
      </w:r>
      <w:r w:rsidR="00A17F03" w:rsidRPr="00525D61">
        <w:t>grade</w:t>
      </w:r>
      <w:r>
        <w:t>s solely based on student achievement and that considerations for non-achievement factors influenced teachers</w:t>
      </w:r>
      <w:r w:rsidR="000012DE">
        <w:t>’</w:t>
      </w:r>
      <w:r>
        <w:t xml:space="preserve"> decisions differently across the group</w:t>
      </w:r>
      <w:r w:rsidR="00DE62AB">
        <w:t>.</w:t>
      </w:r>
      <w:r w:rsidR="004B1587">
        <w:t xml:space="preserve"> Accordingly, research indicates that teachers use evidence from both achievement and non-achievement factors when generating grades, despite policies that </w:t>
      </w:r>
      <w:proofErr w:type="spellStart"/>
      <w:r w:rsidR="004B1587">
        <w:t>favour</w:t>
      </w:r>
      <w:proofErr w:type="spellEnd"/>
      <w:r w:rsidR="004B1587">
        <w:t xml:space="preserve"> achievement-based grading. </w:t>
      </w:r>
    </w:p>
    <w:p w14:paraId="2816239C" w14:textId="4268391A" w:rsidR="00BC348F" w:rsidRPr="00BC348F" w:rsidRDefault="005413DA" w:rsidP="00801D8B">
      <w:pPr>
        <w:widowControl w:val="0"/>
        <w:autoSpaceDE w:val="0"/>
        <w:autoSpaceDN w:val="0"/>
        <w:adjustRightInd w:val="0"/>
        <w:spacing w:line="480" w:lineRule="auto"/>
        <w:outlineLvl w:val="0"/>
        <w:rPr>
          <w:b/>
        </w:rPr>
      </w:pPr>
      <w:r>
        <w:rPr>
          <w:b/>
        </w:rPr>
        <w:t>How are Grades Reported?</w:t>
      </w:r>
    </w:p>
    <w:p w14:paraId="78E562B0" w14:textId="0882A5DE" w:rsidR="00756114" w:rsidRDefault="00A17F03" w:rsidP="00801D8B">
      <w:pPr>
        <w:widowControl w:val="0"/>
        <w:autoSpaceDE w:val="0"/>
        <w:autoSpaceDN w:val="0"/>
        <w:adjustRightInd w:val="0"/>
        <w:spacing w:line="480" w:lineRule="auto"/>
        <w:ind w:firstLine="709"/>
      </w:pPr>
      <w:r w:rsidRPr="00525D61">
        <w:t xml:space="preserve">Variation </w:t>
      </w:r>
      <w:r w:rsidR="005413DA">
        <w:t xml:space="preserve">typically </w:t>
      </w:r>
      <w:r w:rsidR="00387ACF">
        <w:t>exist</w:t>
      </w:r>
      <w:r w:rsidR="00934636">
        <w:t>s</w:t>
      </w:r>
      <w:r w:rsidR="00387ACF">
        <w:t xml:space="preserve"> </w:t>
      </w:r>
      <w:r w:rsidR="005413DA">
        <w:t>in</w:t>
      </w:r>
      <w:r w:rsidR="00387ACF">
        <w:t xml:space="preserve"> how grades are reported across </w:t>
      </w:r>
      <w:r w:rsidR="00F82A04">
        <w:t>jurisdiction</w:t>
      </w:r>
      <w:r w:rsidR="005413DA">
        <w:t>s</w:t>
      </w:r>
      <w:r w:rsidRPr="00525D61">
        <w:t>.</w:t>
      </w:r>
      <w:r w:rsidR="00E10DDA">
        <w:t xml:space="preserve"> </w:t>
      </w:r>
      <w:r w:rsidR="00CE1B88">
        <w:t xml:space="preserve">Despite </w:t>
      </w:r>
      <w:r w:rsidR="002D60B4">
        <w:t>different options for reporting student achievement</w:t>
      </w:r>
      <w:r w:rsidR="002E72FF">
        <w:t>,</w:t>
      </w:r>
      <w:r w:rsidR="002D60B4">
        <w:t xml:space="preserve"> </w:t>
      </w:r>
      <w:r w:rsidR="001D328E">
        <w:t xml:space="preserve">it seems that </w:t>
      </w:r>
      <w:r w:rsidR="000407A4">
        <w:t xml:space="preserve">providing a final </w:t>
      </w:r>
      <w:r w:rsidR="006E088E">
        <w:t>grade</w:t>
      </w:r>
      <w:r w:rsidR="000407A4">
        <w:t xml:space="preserve"> for each subject </w:t>
      </w:r>
      <w:r w:rsidR="005413DA">
        <w:t>from</w:t>
      </w:r>
      <w:r w:rsidR="000407A4">
        <w:t xml:space="preserve"> </w:t>
      </w:r>
      <w:r w:rsidR="00F82A04">
        <w:t xml:space="preserve">Grades </w:t>
      </w:r>
      <w:r w:rsidR="005413DA">
        <w:t>1</w:t>
      </w:r>
      <w:r w:rsidR="000407A4">
        <w:t xml:space="preserve">-12 is the most frequently used reporting </w:t>
      </w:r>
      <w:r w:rsidR="00A11ED2">
        <w:t>method (Bailey &amp;</w:t>
      </w:r>
      <w:r w:rsidR="000407A4" w:rsidRPr="00105C48">
        <w:t xml:space="preserve"> </w:t>
      </w:r>
      <w:proofErr w:type="spellStart"/>
      <w:r w:rsidR="000407A4" w:rsidRPr="00105C48">
        <w:t>McTighe</w:t>
      </w:r>
      <w:proofErr w:type="spellEnd"/>
      <w:r w:rsidR="00A11ED2">
        <w:t>,</w:t>
      </w:r>
      <w:r w:rsidR="000407A4" w:rsidRPr="00105C48">
        <w:t xml:space="preserve"> 1996</w:t>
      </w:r>
      <w:r w:rsidR="000407A4" w:rsidRPr="005229D6">
        <w:t xml:space="preserve">). </w:t>
      </w:r>
      <w:r w:rsidR="005413DA">
        <w:t xml:space="preserve">However, a variety of scales have been used to report grades. For example, some schools </w:t>
      </w:r>
      <w:r w:rsidR="005413DA">
        <w:lastRenderedPageBreak/>
        <w:t xml:space="preserve">and districts use percentages, while others use levels and </w:t>
      </w:r>
      <w:r w:rsidR="00756114">
        <w:t>letters. There is also differences in reporting scales between grades, with primary and junior divisions typically using a different scale compared to intermediate and senior grade divisions. While conversion tables exist that correlate one scale to another, there is variability within these tables whereby a grade in one system maybe considered differently in another (e.g., an A might have a range of 90-100% in one system but 80-100% in another) (</w:t>
      </w:r>
      <w:r w:rsidR="00756114">
        <w:t>Bailey &amp;</w:t>
      </w:r>
      <w:r w:rsidR="00756114" w:rsidRPr="00105C48">
        <w:t xml:space="preserve"> </w:t>
      </w:r>
      <w:proofErr w:type="spellStart"/>
      <w:r w:rsidR="00756114" w:rsidRPr="00105C48">
        <w:t>McTighe</w:t>
      </w:r>
      <w:proofErr w:type="spellEnd"/>
      <w:r w:rsidR="00756114">
        <w:t>,</w:t>
      </w:r>
      <w:r w:rsidR="00756114" w:rsidRPr="00105C48">
        <w:t xml:space="preserve"> 1996</w:t>
      </w:r>
      <w:r w:rsidR="00942999">
        <w:t xml:space="preserve">; </w:t>
      </w:r>
      <w:proofErr w:type="spellStart"/>
      <w:r w:rsidR="00942999">
        <w:t>Brookhart</w:t>
      </w:r>
      <w:proofErr w:type="spellEnd"/>
      <w:r w:rsidR="00942999">
        <w:t xml:space="preserve">, 2013; </w:t>
      </w:r>
      <w:proofErr w:type="spellStart"/>
      <w:r w:rsidR="00942999">
        <w:t>Brookhart</w:t>
      </w:r>
      <w:proofErr w:type="spellEnd"/>
      <w:r w:rsidR="00942999">
        <w:t xml:space="preserve"> et al., 2016</w:t>
      </w:r>
      <w:r w:rsidR="00756114">
        <w:t xml:space="preserve">). </w:t>
      </w:r>
    </w:p>
    <w:p w14:paraId="7E59A3B2" w14:textId="0F38DD78" w:rsidR="00A17F03" w:rsidRDefault="00A17F03" w:rsidP="00801D8B">
      <w:pPr>
        <w:widowControl w:val="0"/>
        <w:autoSpaceDE w:val="0"/>
        <w:autoSpaceDN w:val="0"/>
        <w:adjustRightInd w:val="0"/>
        <w:spacing w:line="480" w:lineRule="auto"/>
        <w:ind w:firstLine="709"/>
      </w:pPr>
      <w:proofErr w:type="spellStart"/>
      <w:r w:rsidRPr="00AD5D4A">
        <w:t>Waltman</w:t>
      </w:r>
      <w:proofErr w:type="spellEnd"/>
      <w:r w:rsidRPr="00AD5D4A">
        <w:t xml:space="preserve"> and </w:t>
      </w:r>
      <w:proofErr w:type="spellStart"/>
      <w:r w:rsidRPr="00AD5D4A">
        <w:t>Frisbie</w:t>
      </w:r>
      <w:proofErr w:type="spellEnd"/>
      <w:r w:rsidRPr="00AD5D4A">
        <w:t xml:space="preserve"> (1994)</w:t>
      </w:r>
      <w:r w:rsidRPr="00525D61">
        <w:t xml:space="preserve"> investigated parents’ interpretation of grades and discovered an overwhelming messiness of school-to-home grade communication, and an inconsistency between teachers and parents interpretations of grades. According to </w:t>
      </w:r>
      <w:r w:rsidRPr="005369A8">
        <w:t xml:space="preserve">Friedman and </w:t>
      </w:r>
      <w:proofErr w:type="spellStart"/>
      <w:r w:rsidRPr="005369A8">
        <w:t>Frisbie</w:t>
      </w:r>
      <w:proofErr w:type="spellEnd"/>
      <w:r w:rsidRPr="005369A8">
        <w:t xml:space="preserve"> (1995)</w:t>
      </w:r>
      <w:r w:rsidR="00387ACF" w:rsidRPr="005369A8">
        <w:t>,</w:t>
      </w:r>
      <w:r w:rsidRPr="00525D61">
        <w:t xml:space="preserve"> who conducted a content analysis of report cards in Wisconsin</w:t>
      </w:r>
      <w:r w:rsidR="00387ACF">
        <w:t>,</w:t>
      </w:r>
      <w:r w:rsidRPr="00525D61">
        <w:t xml:space="preserve"> the variation in characteristics of report cards influenced the validity of grading information. Furthermore, few of the report cards in their sample contained purpose statements explaining what grades were intended to mean, leaving their interpretation open to the reader</w:t>
      </w:r>
      <w:r w:rsidR="00322A1A">
        <w:t>.</w:t>
      </w:r>
      <w:r w:rsidR="009E2168">
        <w:t xml:space="preserve"> Between variability in grading scales and the interpretability of report cards, how grades are reported can lead to significant inconsistencies in the understanding and comparability of grades across schools and systems. </w:t>
      </w:r>
    </w:p>
    <w:p w14:paraId="15A6BBD0" w14:textId="231BD873" w:rsidR="00BE402D" w:rsidRPr="00BE402D" w:rsidRDefault="00BE402D" w:rsidP="00BE402D">
      <w:pPr>
        <w:widowControl w:val="0"/>
        <w:autoSpaceDE w:val="0"/>
        <w:autoSpaceDN w:val="0"/>
        <w:adjustRightInd w:val="0"/>
        <w:spacing w:line="480" w:lineRule="auto"/>
        <w:rPr>
          <w:b/>
        </w:rPr>
      </w:pPr>
      <w:r>
        <w:rPr>
          <w:b/>
        </w:rPr>
        <w:t>What is the R</w:t>
      </w:r>
      <w:r w:rsidRPr="00BE402D">
        <w:rPr>
          <w:b/>
        </w:rPr>
        <w:t xml:space="preserve">elationship between </w:t>
      </w:r>
      <w:r>
        <w:rPr>
          <w:b/>
        </w:rPr>
        <w:t>F</w:t>
      </w:r>
      <w:r w:rsidRPr="00BE402D">
        <w:rPr>
          <w:b/>
        </w:rPr>
        <w:t xml:space="preserve">ormative </w:t>
      </w:r>
      <w:r>
        <w:rPr>
          <w:b/>
        </w:rPr>
        <w:t>Assessment and G</w:t>
      </w:r>
      <w:r w:rsidRPr="00BE402D">
        <w:rPr>
          <w:b/>
        </w:rPr>
        <w:t>rades?</w:t>
      </w:r>
    </w:p>
    <w:p w14:paraId="7CADE8FD" w14:textId="7B243794" w:rsidR="005242B3" w:rsidRDefault="005413DA" w:rsidP="00BE402D">
      <w:pPr>
        <w:widowControl w:val="0"/>
        <w:autoSpaceDE w:val="0"/>
        <w:autoSpaceDN w:val="0"/>
        <w:adjustRightInd w:val="0"/>
        <w:spacing w:line="480" w:lineRule="auto"/>
        <w:ind w:firstLine="709"/>
      </w:pPr>
      <w:r>
        <w:t>Research suggests that teache</w:t>
      </w:r>
      <w:r w:rsidR="00BE402D">
        <w:t xml:space="preserve">rs often consider a variety of assessment evidence </w:t>
      </w:r>
      <w:r>
        <w:t xml:space="preserve">when assigning grades, therefore combing various judgments </w:t>
      </w:r>
      <w:r w:rsidR="00BE402D">
        <w:t xml:space="preserve">on student achievement </w:t>
      </w:r>
      <w:r w:rsidRPr="003F5F08">
        <w:t>(</w:t>
      </w:r>
      <w:proofErr w:type="spellStart"/>
      <w:r w:rsidRPr="003F5F08">
        <w:t>Brookhart</w:t>
      </w:r>
      <w:proofErr w:type="spellEnd"/>
      <w:r w:rsidRPr="003F5F08">
        <w:t>, 1993).</w:t>
      </w:r>
      <w:r w:rsidR="00BE402D">
        <w:t xml:space="preserve"> Specifically, early diagnostic and ongoing formative assessment evidence has been used </w:t>
      </w:r>
      <w:r w:rsidR="00125B90">
        <w:t>to determine a students’</w:t>
      </w:r>
      <w:r w:rsidR="00BE402D">
        <w:t xml:space="preserve"> summative grade</w:t>
      </w:r>
      <w:r w:rsidR="00125B90">
        <w:t xml:space="preserve"> (Bennett, 2011; </w:t>
      </w:r>
      <w:proofErr w:type="spellStart"/>
      <w:r w:rsidR="00125B90">
        <w:t>Brookhart</w:t>
      </w:r>
      <w:proofErr w:type="spellEnd"/>
      <w:r w:rsidR="00125B90">
        <w:t>, 2001)</w:t>
      </w:r>
      <w:r w:rsidR="00BE402D">
        <w:t xml:space="preserve">. </w:t>
      </w:r>
      <w:r w:rsidR="005242B3">
        <w:t>Formative assessment involve</w:t>
      </w:r>
      <w:r w:rsidR="00125B90">
        <w:t>s</w:t>
      </w:r>
      <w:r w:rsidR="005242B3">
        <w:t xml:space="preserve"> u</w:t>
      </w:r>
      <w:r w:rsidR="005242B3" w:rsidRPr="00525D61">
        <w:t xml:space="preserve">sing </w:t>
      </w:r>
      <w:r w:rsidR="005242B3">
        <w:t>assessment practices</w:t>
      </w:r>
      <w:r w:rsidR="005242B3" w:rsidRPr="00525D61">
        <w:t xml:space="preserve"> </w:t>
      </w:r>
      <w:r w:rsidR="00125B90">
        <w:t xml:space="preserve">to </w:t>
      </w:r>
      <w:r w:rsidR="005242B3" w:rsidRPr="00525D61">
        <w:t>develop or improve</w:t>
      </w:r>
      <w:r w:rsidR="005242B3">
        <w:t xml:space="preserve"> educational processes</w:t>
      </w:r>
      <w:r w:rsidR="00BE402D">
        <w:t xml:space="preserve"> and </w:t>
      </w:r>
      <w:r w:rsidR="00125B90">
        <w:t>to support and monitor student learning. H</w:t>
      </w:r>
      <w:r w:rsidR="00BE402D">
        <w:t>ence, formative assessment is</w:t>
      </w:r>
      <w:r w:rsidR="005242B3">
        <w:t xml:space="preserve"> intended to inform </w:t>
      </w:r>
      <w:r w:rsidR="005242B3">
        <w:lastRenderedPageBreak/>
        <w:t>teaching during learning periods</w:t>
      </w:r>
      <w:r w:rsidR="00125B90">
        <w:t>. Recently, c</w:t>
      </w:r>
      <w:r w:rsidR="005242B3">
        <w:t xml:space="preserve">onceptions of formative assessment have expanded to involve students in </w:t>
      </w:r>
      <w:r w:rsidR="00125B90">
        <w:t xml:space="preserve">ongoing </w:t>
      </w:r>
      <w:r w:rsidR="005242B3">
        <w:t>assessment process</w:t>
      </w:r>
      <w:r w:rsidR="00125B90">
        <w:t>es</w:t>
      </w:r>
      <w:r w:rsidR="005242B3">
        <w:t xml:space="preserve"> and encourage them to use assessment information to support their own learning. AFL and Assessment </w:t>
      </w:r>
      <w:r w:rsidR="005242B3">
        <w:rPr>
          <w:i/>
        </w:rPr>
        <w:t xml:space="preserve">as </w:t>
      </w:r>
      <w:r w:rsidR="00125B90">
        <w:t>L</w:t>
      </w:r>
      <w:r w:rsidR="005242B3">
        <w:t>earning (</w:t>
      </w:r>
      <w:proofErr w:type="spellStart"/>
      <w:r w:rsidR="005242B3">
        <w:t>AAL</w:t>
      </w:r>
      <w:proofErr w:type="spellEnd"/>
      <w:r w:rsidR="005242B3">
        <w:t xml:space="preserve">) have emerged as newer concepts related to formative assessment. AFL involves a participatory approach to monitoring student learning via self-, peer-, and teacher-assessments in relation to learning goals and success criteria </w:t>
      </w:r>
      <w:r w:rsidR="005242B3" w:rsidRPr="0082055A">
        <w:t>(</w:t>
      </w:r>
      <w:r w:rsidR="005242B3" w:rsidRPr="0082055A">
        <w:rPr>
          <w:color w:val="000000"/>
          <w:lang w:val="en-CA" w:eastAsia="en-CA"/>
        </w:rPr>
        <w:t xml:space="preserve">Assessment Reform Group, 2002; </w:t>
      </w:r>
      <w:r w:rsidR="005242B3" w:rsidRPr="0009744A">
        <w:rPr>
          <w:color w:val="000000"/>
          <w:lang w:val="en-CA" w:eastAsia="en-CA"/>
        </w:rPr>
        <w:t xml:space="preserve">Black &amp; </w:t>
      </w:r>
      <w:proofErr w:type="spellStart"/>
      <w:r w:rsidR="005242B3" w:rsidRPr="0009744A">
        <w:rPr>
          <w:color w:val="000000"/>
          <w:lang w:val="en-CA" w:eastAsia="en-CA"/>
        </w:rPr>
        <w:t>Wiliam</w:t>
      </w:r>
      <w:proofErr w:type="spellEnd"/>
      <w:r w:rsidR="005242B3" w:rsidRPr="0009744A">
        <w:rPr>
          <w:color w:val="000000"/>
          <w:lang w:val="en-CA" w:eastAsia="en-CA"/>
        </w:rPr>
        <w:t xml:space="preserve">, 1998; </w:t>
      </w:r>
      <w:proofErr w:type="spellStart"/>
      <w:r w:rsidR="005242B3" w:rsidRPr="00316F06">
        <w:rPr>
          <w:color w:val="000000"/>
          <w:lang w:val="en-CA" w:eastAsia="en-CA"/>
        </w:rPr>
        <w:t>Popham</w:t>
      </w:r>
      <w:proofErr w:type="spellEnd"/>
      <w:r w:rsidR="005242B3" w:rsidRPr="00316F06">
        <w:rPr>
          <w:color w:val="000000"/>
          <w:lang w:val="en-CA" w:eastAsia="en-CA"/>
        </w:rPr>
        <w:t xml:space="preserve">, 2013; </w:t>
      </w:r>
      <w:r w:rsidR="005242B3" w:rsidRPr="007E380B">
        <w:rPr>
          <w:color w:val="000000"/>
          <w:lang w:val="en-CA" w:eastAsia="en-CA"/>
        </w:rPr>
        <w:t>Willis, 2010).</w:t>
      </w:r>
      <w:r w:rsidR="005242B3">
        <w:rPr>
          <w:color w:val="000000"/>
          <w:lang w:val="en-CA" w:eastAsia="en-CA"/>
        </w:rPr>
        <w:t xml:space="preserve"> </w:t>
      </w:r>
      <w:proofErr w:type="spellStart"/>
      <w:r w:rsidR="005242B3">
        <w:rPr>
          <w:color w:val="000000"/>
          <w:lang w:val="en-CA" w:eastAsia="en-CA"/>
        </w:rPr>
        <w:t>AAL</w:t>
      </w:r>
      <w:proofErr w:type="spellEnd"/>
      <w:r w:rsidR="005242B3">
        <w:rPr>
          <w:color w:val="000000"/>
          <w:lang w:val="en-CA" w:eastAsia="en-CA"/>
        </w:rPr>
        <w:t xml:space="preserve"> focuses discretely on supporting students’ metacognitive development through ongoing assessment practice </w:t>
      </w:r>
      <w:r w:rsidR="005242B3" w:rsidRPr="00537688">
        <w:rPr>
          <w:color w:val="000000"/>
          <w:lang w:val="en-CA" w:eastAsia="en-CA"/>
        </w:rPr>
        <w:t>(Earl, 2013).</w:t>
      </w:r>
      <w:r w:rsidR="005242B3">
        <w:t xml:space="preserve"> </w:t>
      </w:r>
    </w:p>
    <w:p w14:paraId="36D03C61" w14:textId="7A843F55" w:rsidR="005242B3" w:rsidRDefault="005242B3" w:rsidP="005242B3">
      <w:pPr>
        <w:widowControl w:val="0"/>
        <w:autoSpaceDE w:val="0"/>
        <w:autoSpaceDN w:val="0"/>
        <w:adjustRightInd w:val="0"/>
        <w:spacing w:line="480" w:lineRule="auto"/>
        <w:ind w:firstLine="709"/>
      </w:pPr>
      <w:r>
        <w:t xml:space="preserve">While these assessment purposes appear neat and tidy in theory, in practice, research shows that formative and summative assessments may not be as distinct. As recognized by </w:t>
      </w:r>
      <w:proofErr w:type="spellStart"/>
      <w:r w:rsidRPr="00536548">
        <w:t>Brookhart</w:t>
      </w:r>
      <w:proofErr w:type="spellEnd"/>
      <w:r w:rsidRPr="00536548">
        <w:t xml:space="preserve"> (2001) </w:t>
      </w:r>
      <w:r w:rsidRPr="007316F2">
        <w:t>and Bennett (2011),</w:t>
      </w:r>
      <w:r>
        <w:t xml:space="preserve"> the terms </w:t>
      </w:r>
      <w:r>
        <w:rPr>
          <w:i/>
        </w:rPr>
        <w:t xml:space="preserve">formative </w:t>
      </w:r>
      <w:r>
        <w:t xml:space="preserve">and </w:t>
      </w:r>
      <w:r>
        <w:rPr>
          <w:i/>
        </w:rPr>
        <w:t xml:space="preserve">summative </w:t>
      </w:r>
      <w:r>
        <w:t>are not used consistently in the literature</w:t>
      </w:r>
      <w:r w:rsidR="00125B90">
        <w:t xml:space="preserve"> or in practical classroom contexts. </w:t>
      </w:r>
      <w:r>
        <w:t xml:space="preserve">For example, </w:t>
      </w:r>
      <w:proofErr w:type="spellStart"/>
      <w:r w:rsidRPr="00536548">
        <w:t>Brookhart</w:t>
      </w:r>
      <w:proofErr w:type="spellEnd"/>
      <w:r w:rsidRPr="00536548">
        <w:t xml:space="preserve"> (2001)</w:t>
      </w:r>
      <w:r>
        <w:t xml:space="preserve"> demonstrated how 50 students in high school English and Anatomy classes used feedback from summative assessment formatively to support their continued learning. Specifically, she found that students </w:t>
      </w:r>
      <w:r w:rsidRPr="00D559AD">
        <w:t>“do not make neat distinctions between formative and summative assessment, but use assessment in a variety of integrated ways, including some that may be categorized as ‘formative with a hint of summative’ and ‘summative with a bit of formative</w:t>
      </w:r>
      <w:r>
        <w:t xml:space="preserve">’” (p. 168). Similarly, in establishing student grades, teachers often rely on formative assessment data despite its primary formative function to inform teaching and learning, not summate learning. For example, it is not uncommon for teachers to use formative quiz grades when generating their summative report card grades. The blurring of formative and summative assessments have significant impact on the way grades are constructed and the consistency of grading practices across teachers. To date, few studies have examined how grading policies direct teachers to value </w:t>
      </w:r>
      <w:r>
        <w:lastRenderedPageBreak/>
        <w:t xml:space="preserve">and use formative assessment information when generating grades. </w:t>
      </w:r>
    </w:p>
    <w:p w14:paraId="7A32831B" w14:textId="6E1F2199" w:rsidR="00525D61" w:rsidRPr="00525D61" w:rsidRDefault="00525D61" w:rsidP="00801D8B">
      <w:pPr>
        <w:spacing w:line="480" w:lineRule="auto"/>
        <w:jc w:val="center"/>
        <w:outlineLvl w:val="0"/>
        <w:rPr>
          <w:b/>
        </w:rPr>
      </w:pPr>
      <w:r w:rsidRPr="00525D61">
        <w:rPr>
          <w:b/>
        </w:rPr>
        <w:t>Methods</w:t>
      </w:r>
    </w:p>
    <w:p w14:paraId="0AA67459" w14:textId="0EC3E934" w:rsidR="00387ACF" w:rsidRDefault="00387ACF" w:rsidP="00801D8B">
      <w:pPr>
        <w:spacing w:line="480" w:lineRule="auto"/>
      </w:pPr>
      <w:r>
        <w:tab/>
        <w:t xml:space="preserve">This policy analysis study used a systematic review process to identify primary, government-based grading documents across Canada </w:t>
      </w:r>
      <w:r w:rsidRPr="00257ECE">
        <w:rPr>
          <w:rFonts w:cs="Arial"/>
        </w:rPr>
        <w:t>(</w:t>
      </w:r>
      <w:proofErr w:type="spellStart"/>
      <w:r w:rsidRPr="00257ECE">
        <w:rPr>
          <w:rFonts w:cs="Arial"/>
        </w:rPr>
        <w:t>Arksey</w:t>
      </w:r>
      <w:proofErr w:type="spellEnd"/>
      <w:r w:rsidR="00257ECE" w:rsidRPr="00257ECE">
        <w:rPr>
          <w:rFonts w:cs="Arial"/>
        </w:rPr>
        <w:t xml:space="preserve"> </w:t>
      </w:r>
      <w:r w:rsidRPr="00257ECE">
        <w:rPr>
          <w:rFonts w:cs="Arial"/>
        </w:rPr>
        <w:t>&amp; O’Malley, 2005)</w:t>
      </w:r>
      <w:r w:rsidRPr="00257ECE">
        <w:t>.</w:t>
      </w:r>
      <w:r>
        <w:t xml:space="preserve"> All data collected for this study came from publically accessible policy documents on websites affiliated with Canadian ministries of education including 10 provinces and 3 territories. The following key terms were used to identify relevant policies through the MOEs’ websites: </w:t>
      </w:r>
      <w:r w:rsidRPr="00387ACF">
        <w:rPr>
          <w:i/>
        </w:rPr>
        <w:t>grading, assessment policies, summative assessment</w:t>
      </w:r>
      <w:r w:rsidRPr="00B267AA">
        <w:t xml:space="preserve">, and </w:t>
      </w:r>
      <w:r w:rsidRPr="00387ACF">
        <w:rPr>
          <w:i/>
        </w:rPr>
        <w:t>evaluation</w:t>
      </w:r>
      <w:r w:rsidR="008D7A9F">
        <w:t>. A total of 23</w:t>
      </w:r>
      <w:r>
        <w:t xml:space="preserve"> grading and assessment policy documents from Canadian provinces and territories were included in the study.</w:t>
      </w:r>
      <w:r w:rsidR="00707D85">
        <w:t xml:space="preserve"> Some policy documents did not include pertinent information regarding grading practices therefore, data was not extracted from all of the policies reviewed.</w:t>
      </w:r>
      <w:r>
        <w:t xml:space="preserve"> </w:t>
      </w:r>
      <w:r w:rsidR="0019752F">
        <w:t>Also, if school board</w:t>
      </w:r>
      <w:r w:rsidR="00962A86">
        <w:t xml:space="preserve"> grading</w:t>
      </w:r>
      <w:r w:rsidR="0019752F">
        <w:t xml:space="preserve"> policies were referenced on the ministry websites</w:t>
      </w:r>
      <w:r w:rsidR="000619CF">
        <w:t>,</w:t>
      </w:r>
      <w:r w:rsidR="00962A86">
        <w:t xml:space="preserve"> they were included in the analyses. </w:t>
      </w:r>
      <w:r w:rsidR="00B90BFD">
        <w:t xml:space="preserve">Please see </w:t>
      </w:r>
      <w:r w:rsidR="00B90BFD" w:rsidRPr="00534B6A">
        <w:t>Appendix 1</w:t>
      </w:r>
      <w:r w:rsidR="00B90BFD">
        <w:t xml:space="preserve"> for a list of the policy documents reviewed</w:t>
      </w:r>
      <w:r w:rsidR="00827243">
        <w:t xml:space="preserve"> and province/territory </w:t>
      </w:r>
      <w:proofErr w:type="spellStart"/>
      <w:r w:rsidR="00827243">
        <w:t>abbreivations</w:t>
      </w:r>
      <w:proofErr w:type="spellEnd"/>
      <w:r w:rsidR="00827243">
        <w:t>.</w:t>
      </w:r>
    </w:p>
    <w:p w14:paraId="3B58D91A" w14:textId="4E609723" w:rsidR="00525D61" w:rsidRPr="00387ACF" w:rsidRDefault="00A81495" w:rsidP="00801D8B">
      <w:pPr>
        <w:spacing w:line="480" w:lineRule="auto"/>
        <w:ind w:firstLine="720"/>
        <w:rPr>
          <w:lang w:val="en-CA"/>
        </w:rPr>
      </w:pPr>
      <w:r>
        <w:t xml:space="preserve">Qualitative </w:t>
      </w:r>
      <w:r w:rsidR="00F715BF">
        <w:t xml:space="preserve">content </w:t>
      </w:r>
      <w:r w:rsidR="00387ACF">
        <w:t xml:space="preserve">analysis </w:t>
      </w:r>
      <w:r w:rsidR="00387ACF" w:rsidRPr="009156BA">
        <w:t xml:space="preserve">(Patton, 2014) was used to analyze the policy documents </w:t>
      </w:r>
      <w:r w:rsidRPr="009156BA">
        <w:t xml:space="preserve">within three broad </w:t>
      </w:r>
      <w:r w:rsidR="00387ACF" w:rsidRPr="009156BA">
        <w:t>categories: (a) purposes of grades, (b) methods for generating grades, and (c) grading in relation to formative assessment.</w:t>
      </w:r>
      <w:r w:rsidR="00F715BF" w:rsidRPr="009156BA">
        <w:t xml:space="preserve"> Within these categories we deductively analyzed the documents to identify emergent codes (Patton, 2014).</w:t>
      </w:r>
      <w:r w:rsidR="00387ACF">
        <w:t xml:space="preserve"> The first category, </w:t>
      </w:r>
      <w:r w:rsidR="00387ACF" w:rsidRPr="00AE65EB">
        <w:rPr>
          <w:i/>
        </w:rPr>
        <w:t>purposes of grades</w:t>
      </w:r>
      <w:r w:rsidR="00387ACF">
        <w:t xml:space="preserve">, included identifying the main purpose of grading as explicitly stated in policy documents (e.g., feedback, sorting students, motivating learning, etc.). We also included the extent to which grading fairness, justice, or equity was discussed throughout the policies. Within the </w:t>
      </w:r>
      <w:r w:rsidR="00387ACF" w:rsidRPr="00AE65EB">
        <w:rPr>
          <w:i/>
        </w:rPr>
        <w:t>methods for generating grades category</w:t>
      </w:r>
      <w:r w:rsidR="00387ACF">
        <w:t>, our analysis focused on the methods used to calculate grades, the evidence that contributes to grade, and the stakeholders involved in the grading process. Specifically, we examined how documents described the function of both achievement and</w:t>
      </w:r>
      <w:r w:rsidR="00387ACF" w:rsidRPr="00595D90">
        <w:t xml:space="preserve"> non-</w:t>
      </w:r>
      <w:r w:rsidR="00387ACF" w:rsidRPr="00595D90">
        <w:lastRenderedPageBreak/>
        <w:t>achievement</w:t>
      </w:r>
      <w:r w:rsidR="00387ACF">
        <w:t xml:space="preserve"> factors in grade construction, type </w:t>
      </w:r>
      <w:r w:rsidR="00387ACF" w:rsidRPr="00595D90">
        <w:t xml:space="preserve">of assessment </w:t>
      </w:r>
      <w:r w:rsidR="00387ACF">
        <w:t xml:space="preserve">data </w:t>
      </w:r>
      <w:r w:rsidR="00387ACF" w:rsidRPr="00595D90">
        <w:t>(</w:t>
      </w:r>
      <w:r w:rsidR="00387ACF">
        <w:t>e.g., portfolios, tests</w:t>
      </w:r>
      <w:r w:rsidR="00387ACF" w:rsidRPr="00595D90">
        <w:t>)</w:t>
      </w:r>
      <w:r w:rsidR="00387ACF">
        <w:t>, and the influence of large-scale assessments. In this category, we also considered how grades were reported (i.e., reporting periods</w:t>
      </w:r>
      <w:r w:rsidR="00387ACF" w:rsidRPr="00595D90">
        <w:t xml:space="preserve">, distribution/composition of grades, </w:t>
      </w:r>
      <w:r w:rsidR="00387ACF">
        <w:t xml:space="preserve">scale systems). The final category, </w:t>
      </w:r>
      <w:r w:rsidR="00387ACF" w:rsidRPr="00AE65EB">
        <w:rPr>
          <w:i/>
        </w:rPr>
        <w:t>grading in relation to formative assessment</w:t>
      </w:r>
      <w:r w:rsidR="00387ACF">
        <w:t>, focused on (</w:t>
      </w:r>
      <w:r w:rsidR="00387ACF" w:rsidRPr="00DC1372">
        <w:t>a) how policies articulate</w:t>
      </w:r>
      <w:r w:rsidR="00387ACF">
        <w:t xml:space="preserve">d the distinction </w:t>
      </w:r>
      <w:r w:rsidR="00387ACF" w:rsidRPr="00DC1372">
        <w:t>between formative and summative assessment</w:t>
      </w:r>
      <w:r w:rsidR="00387ACF">
        <w:t>,</w:t>
      </w:r>
      <w:r w:rsidR="00387ACF" w:rsidRPr="00DC1372">
        <w:t xml:space="preserve"> </w:t>
      </w:r>
      <w:r w:rsidR="00387ACF">
        <w:t xml:space="preserve">and (b) terminology used throughout the document to articulate the role of grades in relation to other assessment purposes. </w:t>
      </w:r>
    </w:p>
    <w:p w14:paraId="6839FE15" w14:textId="13D55535" w:rsidR="00525D61" w:rsidRDefault="00525D61" w:rsidP="00801D8B">
      <w:pPr>
        <w:spacing w:line="480" w:lineRule="auto"/>
        <w:jc w:val="center"/>
        <w:outlineLvl w:val="0"/>
        <w:rPr>
          <w:b/>
        </w:rPr>
      </w:pPr>
      <w:r w:rsidRPr="00525D61">
        <w:rPr>
          <w:b/>
        </w:rPr>
        <w:t>Results</w:t>
      </w:r>
    </w:p>
    <w:p w14:paraId="050E134D" w14:textId="635A58D8" w:rsidR="001509FC" w:rsidRPr="001509FC" w:rsidRDefault="00387ACF" w:rsidP="00801D8B">
      <w:pPr>
        <w:spacing w:line="480" w:lineRule="auto"/>
        <w:ind w:firstLine="720"/>
      </w:pPr>
      <w:r>
        <w:t>The results of our systematic review of Canadian grading policies are presented in relation to three categories: (a) purposes of grades, (b) methods for generating grades, and (c) grading in relation to formative assessment. Within each of these categories, general trends and specific examples from provincial/territorial policy documents are described.</w:t>
      </w:r>
    </w:p>
    <w:p w14:paraId="669649FC" w14:textId="2944B5D6" w:rsidR="00A17F03" w:rsidRPr="00525D61" w:rsidRDefault="00525D61" w:rsidP="00801D8B">
      <w:pPr>
        <w:spacing w:line="480" w:lineRule="auto"/>
        <w:outlineLvl w:val="0"/>
        <w:rPr>
          <w:b/>
        </w:rPr>
      </w:pPr>
      <w:r w:rsidRPr="00525D61">
        <w:rPr>
          <w:b/>
        </w:rPr>
        <w:t>Purpose</w:t>
      </w:r>
      <w:r w:rsidR="00812002">
        <w:rPr>
          <w:b/>
        </w:rPr>
        <w:t>s of Grades</w:t>
      </w:r>
    </w:p>
    <w:p w14:paraId="2EA134BF" w14:textId="2F5E3E51" w:rsidR="00A17F03" w:rsidRPr="00F62BC5" w:rsidRDefault="001509FC" w:rsidP="00801D8B">
      <w:pPr>
        <w:spacing w:line="480" w:lineRule="auto"/>
        <w:ind w:firstLine="851"/>
      </w:pPr>
      <w:r>
        <w:t>Our analysis of grading policies i</w:t>
      </w:r>
      <w:r w:rsidRPr="00F62BC5">
        <w:t>dentified four main purposes of grading: (a) monitoring</w:t>
      </w:r>
      <w:r w:rsidR="00427926" w:rsidRPr="00F62BC5">
        <w:t xml:space="preserve"> and reporting</w:t>
      </w:r>
      <w:r w:rsidRPr="00F62BC5">
        <w:t>,</w:t>
      </w:r>
      <w:r w:rsidR="00427926" w:rsidRPr="00F62BC5">
        <w:t xml:space="preserve"> (b)</w:t>
      </w:r>
      <w:r w:rsidRPr="00F62BC5">
        <w:t xml:space="preserve"> feedback, </w:t>
      </w:r>
      <w:r w:rsidR="00427926" w:rsidRPr="00F62BC5">
        <w:t xml:space="preserve">(c) </w:t>
      </w:r>
      <w:r w:rsidRPr="00F62BC5">
        <w:t xml:space="preserve">accountability, and </w:t>
      </w:r>
      <w:r w:rsidR="00427926" w:rsidRPr="00F62BC5">
        <w:t xml:space="preserve">(d) </w:t>
      </w:r>
      <w:r w:rsidRPr="00F62BC5">
        <w:t xml:space="preserve">sorting. </w:t>
      </w:r>
      <w:r w:rsidR="00A17F03" w:rsidRPr="00F62BC5">
        <w:t xml:space="preserve">Specifically in </w:t>
      </w:r>
      <w:r w:rsidR="00427926" w:rsidRPr="00F62BC5">
        <w:t xml:space="preserve">terms of summative assessment, </w:t>
      </w:r>
      <w:r w:rsidR="00A17F03" w:rsidRPr="00F62BC5">
        <w:rPr>
          <w:i/>
        </w:rPr>
        <w:t>monitoring</w:t>
      </w:r>
      <w:r w:rsidR="00812002" w:rsidRPr="00F62BC5">
        <w:rPr>
          <w:i/>
        </w:rPr>
        <w:t xml:space="preserve"> and reporting</w:t>
      </w:r>
      <w:r w:rsidR="00427926" w:rsidRPr="00F62BC5">
        <w:rPr>
          <w:i/>
        </w:rPr>
        <w:t xml:space="preserve"> </w:t>
      </w:r>
      <w:r w:rsidR="00812002" w:rsidRPr="00F62BC5">
        <w:t>student learning</w:t>
      </w:r>
      <w:r w:rsidR="00A17F03" w:rsidRPr="00F62BC5">
        <w:t xml:space="preserve"> was the most common reason for assigning grades. As articulated in the Q</w:t>
      </w:r>
      <w:r w:rsidR="00827243">
        <w:t>C</w:t>
      </w:r>
      <w:r w:rsidR="00A17F03" w:rsidRPr="00F62BC5">
        <w:t xml:space="preserve"> document, “evaluation is the process </w:t>
      </w:r>
      <w:r w:rsidR="00A17F03" w:rsidRPr="00A3372A">
        <w:t>whereby a judgment is made on a student’s learning on the basis of information gathered, analyzed and interpreted, for the purpose of making pedagogical and administrative decisions” (Q</w:t>
      </w:r>
      <w:r w:rsidR="00B04668" w:rsidRPr="00A3372A">
        <w:t>C</w:t>
      </w:r>
      <w:r w:rsidR="00CC504D" w:rsidRPr="00A3372A">
        <w:t>1</w:t>
      </w:r>
      <w:r w:rsidR="00A17F03" w:rsidRPr="00A3372A">
        <w:t xml:space="preserve">, </w:t>
      </w:r>
      <w:r w:rsidR="00C25137" w:rsidRPr="00A3372A">
        <w:t>MEQ</w:t>
      </w:r>
      <w:r w:rsidR="00EF38C2" w:rsidRPr="00A3372A">
        <w:t>, 2003, p</w:t>
      </w:r>
      <w:r w:rsidR="00D0036A" w:rsidRPr="00A3372A">
        <w:t>.</w:t>
      </w:r>
      <w:r w:rsidR="008346D5" w:rsidRPr="00A3372A">
        <w:t xml:space="preserve"> 2</w:t>
      </w:r>
      <w:r w:rsidR="00A17F03" w:rsidRPr="00A3372A">
        <w:t>). Some provinces (</w:t>
      </w:r>
      <w:r w:rsidR="00F62BC5" w:rsidRPr="00A3372A">
        <w:t xml:space="preserve">i.e., </w:t>
      </w:r>
      <w:r w:rsidR="009C2677" w:rsidRPr="00A3372A">
        <w:t>S</w:t>
      </w:r>
      <w:r w:rsidR="00827243">
        <w:t>K</w:t>
      </w:r>
      <w:r w:rsidR="009C2677" w:rsidRPr="00A3372A">
        <w:t>, Q</w:t>
      </w:r>
      <w:r w:rsidR="00827243">
        <w:t>U</w:t>
      </w:r>
      <w:r w:rsidR="00A17F03" w:rsidRPr="00A3372A">
        <w:t xml:space="preserve">, </w:t>
      </w:r>
      <w:r w:rsidR="009C2677" w:rsidRPr="00A3372A">
        <w:t>P</w:t>
      </w:r>
      <w:r w:rsidR="00827243">
        <w:t>EI</w:t>
      </w:r>
      <w:r w:rsidR="00A17F03" w:rsidRPr="00A3372A">
        <w:t xml:space="preserve">, </w:t>
      </w:r>
      <w:r w:rsidR="00827243" w:rsidRPr="00A3372A">
        <w:t>Y</w:t>
      </w:r>
      <w:r w:rsidR="00827243">
        <w:t>K</w:t>
      </w:r>
      <w:r w:rsidR="00A17F03" w:rsidRPr="00A3372A">
        <w:t xml:space="preserve">, </w:t>
      </w:r>
      <w:r w:rsidR="00827243" w:rsidRPr="00A3372A">
        <w:t>N</w:t>
      </w:r>
      <w:r w:rsidR="00827243">
        <w:t>U</w:t>
      </w:r>
      <w:r w:rsidR="00A17F03" w:rsidRPr="00A3372A">
        <w:t>) went further to specify that this monitoring would be the responsibility of both teachers and students. In terms of teachers, all provinces emphasized that summative assessment is used to “assist teachers in meeting individual needs” (</w:t>
      </w:r>
      <w:r w:rsidR="000708F5" w:rsidRPr="00A3372A">
        <w:t>SK</w:t>
      </w:r>
      <w:r w:rsidR="00246936" w:rsidRPr="00A3372A">
        <w:t>1</w:t>
      </w:r>
      <w:r w:rsidR="000708F5" w:rsidRPr="00A3372A">
        <w:t xml:space="preserve">, </w:t>
      </w:r>
      <w:r w:rsidR="003E4E88" w:rsidRPr="00A3372A">
        <w:t>Department of Education</w:t>
      </w:r>
      <w:r w:rsidR="00DE4C20" w:rsidRPr="00A3372A">
        <w:t>,</w:t>
      </w:r>
      <w:r w:rsidR="009769C5" w:rsidRPr="00A3372A">
        <w:t xml:space="preserve"> 1991</w:t>
      </w:r>
      <w:r w:rsidR="00BB01E3" w:rsidRPr="00A3372A">
        <w:t>,</w:t>
      </w:r>
      <w:r w:rsidR="009769C5" w:rsidRPr="00A3372A">
        <w:t xml:space="preserve"> p</w:t>
      </w:r>
      <w:r w:rsidR="00BB01E3" w:rsidRPr="00A3372A">
        <w:t>. 2</w:t>
      </w:r>
      <w:r w:rsidR="00A17F03" w:rsidRPr="00A3372A">
        <w:t xml:space="preserve">), by integrating assessments that encourage the holistic development of students, and provide them with </w:t>
      </w:r>
      <w:r w:rsidR="00A17F03" w:rsidRPr="00A3372A">
        <w:lastRenderedPageBreak/>
        <w:t>“multiple opportunities to demonstrate their learning in a variety of ways and contexts” (</w:t>
      </w:r>
      <w:r w:rsidR="000708F5" w:rsidRPr="00A3372A">
        <w:t>NL</w:t>
      </w:r>
      <w:r w:rsidR="00246936" w:rsidRPr="00A3372A">
        <w:t>1</w:t>
      </w:r>
      <w:r w:rsidR="000708F5" w:rsidRPr="00A3372A">
        <w:t>,</w:t>
      </w:r>
      <w:r w:rsidR="00246936" w:rsidRPr="00A3372A">
        <w:rPr>
          <w:i/>
          <w:lang w:val="en-CA"/>
        </w:rPr>
        <w:t xml:space="preserve"> </w:t>
      </w:r>
      <w:r w:rsidR="00022D9D" w:rsidRPr="00A3372A">
        <w:t>Department of Education</w:t>
      </w:r>
      <w:r w:rsidR="007F59A5" w:rsidRPr="00A3372A">
        <w:rPr>
          <w:lang w:val="en-CA"/>
        </w:rPr>
        <w:t>, 2013, p.</w:t>
      </w:r>
      <w:r w:rsidR="00C72014" w:rsidRPr="00A3372A">
        <w:rPr>
          <w:lang w:val="en-CA"/>
        </w:rPr>
        <w:t xml:space="preserve"> 11).</w:t>
      </w:r>
      <w:r w:rsidR="007F59A5" w:rsidRPr="00A3372A">
        <w:rPr>
          <w:lang w:val="en-CA"/>
        </w:rPr>
        <w:t xml:space="preserve"> </w:t>
      </w:r>
      <w:r w:rsidR="00A17F03" w:rsidRPr="00A3372A">
        <w:t>In terms of students, all provinces stressed the importance of developing skills to monitor their own progress as “independent self-assessors in the quest for life-long learning” (</w:t>
      </w:r>
      <w:r w:rsidR="00645F62" w:rsidRPr="00A3372A">
        <w:t>YT</w:t>
      </w:r>
      <w:r w:rsidR="000708F5" w:rsidRPr="00A3372A">
        <w:t xml:space="preserve">, </w:t>
      </w:r>
      <w:r w:rsidR="00A17F03" w:rsidRPr="00A3372A">
        <w:t xml:space="preserve">Department of Education, 2004, </w:t>
      </w:r>
      <w:r w:rsidR="00D35BF1">
        <w:t>as cited in MB</w:t>
      </w:r>
      <w:r w:rsidR="0011602F">
        <w:t>3</w:t>
      </w:r>
      <w:r w:rsidR="00EB3A99">
        <w:t>, p</w:t>
      </w:r>
      <w:r w:rsidR="00FC5A13">
        <w:t>.</w:t>
      </w:r>
      <w:r w:rsidR="00EB3A99">
        <w:t xml:space="preserve"> viii</w:t>
      </w:r>
      <w:r w:rsidR="0011602F">
        <w:t>)</w:t>
      </w:r>
      <w:r w:rsidR="00A17F03" w:rsidRPr="00A3372A">
        <w:t>. Students use</w:t>
      </w:r>
      <w:r w:rsidR="003C014B" w:rsidRPr="00A3372A">
        <w:t>d</w:t>
      </w:r>
      <w:r w:rsidR="00A17F03" w:rsidRPr="00A3372A">
        <w:t xml:space="preserve"> the data collected through assessments “to inform their learning and encourage reflective thinking” (AB</w:t>
      </w:r>
      <w:r w:rsidR="001203B9" w:rsidRPr="00A3372A">
        <w:t>1</w:t>
      </w:r>
      <w:r w:rsidR="00A17F03" w:rsidRPr="00A3372A">
        <w:t xml:space="preserve">, </w:t>
      </w:r>
      <w:r w:rsidR="00330D37" w:rsidRPr="00A3372A">
        <w:t>Alberta</w:t>
      </w:r>
      <w:r w:rsidR="00E27E48" w:rsidRPr="00A3372A">
        <w:t xml:space="preserve"> Education</w:t>
      </w:r>
      <w:r w:rsidR="00A07B8D" w:rsidRPr="00A3372A">
        <w:t>,</w:t>
      </w:r>
      <w:r w:rsidR="005411A8" w:rsidRPr="00A3372A">
        <w:t xml:space="preserve"> p. 4</w:t>
      </w:r>
      <w:r w:rsidR="00A17F03" w:rsidRPr="00A3372A">
        <w:t>)</w:t>
      </w:r>
      <w:r w:rsidR="005411A8" w:rsidRPr="00A3372A">
        <w:t>.</w:t>
      </w:r>
      <w:r w:rsidR="005411A8">
        <w:t xml:space="preserve"> </w:t>
      </w:r>
      <w:r w:rsidR="00A17F03" w:rsidRPr="00F62BC5">
        <w:t xml:space="preserve"> </w:t>
      </w:r>
    </w:p>
    <w:p w14:paraId="63A68650" w14:textId="6FE55220" w:rsidR="00812002" w:rsidRPr="00A3372A" w:rsidRDefault="00812002" w:rsidP="00801D8B">
      <w:pPr>
        <w:spacing w:line="480" w:lineRule="auto"/>
        <w:ind w:firstLine="851"/>
        <w:rPr>
          <w:bCs/>
          <w:i/>
        </w:rPr>
      </w:pPr>
      <w:r w:rsidRPr="00F62BC5">
        <w:t xml:space="preserve">All provinces described reporting and communication as a purpose of summative assessment. All provinces also emphasized that grades were intended to inform teachers and students. However, using grades to inform broader groups was made explicit in </w:t>
      </w:r>
      <w:r w:rsidR="004F0108">
        <w:t>Ontario</w:t>
      </w:r>
      <w:r w:rsidRPr="009C2677">
        <w:t xml:space="preserve">, </w:t>
      </w:r>
      <w:r w:rsidR="00354727" w:rsidRPr="009C2677">
        <w:t>PE</w:t>
      </w:r>
      <w:r w:rsidRPr="00F62BC5">
        <w:t xml:space="preserve">, and the northern provinces. </w:t>
      </w:r>
      <w:r w:rsidRPr="00A3372A">
        <w:t xml:space="preserve">In ON and </w:t>
      </w:r>
      <w:r w:rsidR="00354727" w:rsidRPr="00A3372A">
        <w:t>PE</w:t>
      </w:r>
      <w:r w:rsidRPr="00A3372A">
        <w:t xml:space="preserve">, parents and others and parents and administrators respectively were included in addition to teachers and students. The </w:t>
      </w:r>
      <w:r w:rsidR="001507F6" w:rsidRPr="00A3372A">
        <w:t>ON</w:t>
      </w:r>
      <w:r w:rsidRPr="00A3372A">
        <w:t xml:space="preserve"> </w:t>
      </w:r>
      <w:r w:rsidRPr="00A3372A">
        <w:rPr>
          <w:i/>
        </w:rPr>
        <w:t>Growing Success</w:t>
      </w:r>
      <w:r w:rsidRPr="00A3372A">
        <w:t xml:space="preserve"> document stipulates that “summative assessment...support[s] the communication of information about achievement to students themselves, parents, teachers, and others” (ON</w:t>
      </w:r>
      <w:r w:rsidR="001203B9" w:rsidRPr="00A3372A">
        <w:t>1,</w:t>
      </w:r>
      <w:r w:rsidRPr="00A3372A">
        <w:t xml:space="preserve"> </w:t>
      </w:r>
      <w:r w:rsidR="001507F6" w:rsidRPr="00A3372A">
        <w:t>MOE,</w:t>
      </w:r>
      <w:r w:rsidR="002D0F0D" w:rsidRPr="00A3372A">
        <w:t xml:space="preserve"> 2010</w:t>
      </w:r>
      <w:r w:rsidR="001507F6" w:rsidRPr="00A3372A">
        <w:t xml:space="preserve"> p.</w:t>
      </w:r>
      <w:r w:rsidR="006F2B08" w:rsidRPr="00A3372A">
        <w:t xml:space="preserve"> 31</w:t>
      </w:r>
      <w:r w:rsidRPr="00A3372A">
        <w:t xml:space="preserve">). In the </w:t>
      </w:r>
      <w:r w:rsidR="009C2677" w:rsidRPr="00A3372A">
        <w:t>Northwest Territories</w:t>
      </w:r>
      <w:r w:rsidRPr="00A3372A">
        <w:t xml:space="preserve"> parents </w:t>
      </w:r>
      <w:r w:rsidR="005D3680" w:rsidRPr="00A3372A">
        <w:t>were</w:t>
      </w:r>
      <w:r w:rsidRPr="00A3372A">
        <w:t xml:space="preserve"> explicitly identified as key players in monitoring students’ assessment results. Reporting was stressed as a way for parents to become informed of their child’s strengths and needs in terms of learning and achievement (</w:t>
      </w:r>
      <w:r w:rsidR="00132456" w:rsidRPr="00A3372A">
        <w:t>N</w:t>
      </w:r>
      <w:r w:rsidR="00827243">
        <w:t>W</w:t>
      </w:r>
      <w:r w:rsidR="00132456" w:rsidRPr="00A3372A">
        <w:t xml:space="preserve">T1, </w:t>
      </w:r>
      <w:r w:rsidR="00C36D90" w:rsidRPr="00A3372A">
        <w:rPr>
          <w:bCs/>
        </w:rPr>
        <w:t>Department of Education, Culture &amp; Employment,</w:t>
      </w:r>
      <w:r w:rsidR="0067399C" w:rsidRPr="00A3372A">
        <w:rPr>
          <w:bCs/>
        </w:rPr>
        <w:t xml:space="preserve"> 2011-2012</w:t>
      </w:r>
      <w:r w:rsidRPr="00A3372A">
        <w:t xml:space="preserve">). </w:t>
      </w:r>
    </w:p>
    <w:p w14:paraId="067B9910" w14:textId="4049F268" w:rsidR="00812002" w:rsidRPr="00A3372A" w:rsidRDefault="00812002" w:rsidP="00801D8B">
      <w:pPr>
        <w:spacing w:line="480" w:lineRule="auto"/>
        <w:ind w:firstLine="851"/>
      </w:pPr>
      <w:r w:rsidRPr="00A3372A">
        <w:t xml:space="preserve">In the northern communities (i.e. </w:t>
      </w:r>
      <w:r w:rsidR="00645F62" w:rsidRPr="00A3372A">
        <w:t>YT</w:t>
      </w:r>
      <w:r w:rsidRPr="00A3372A">
        <w:t xml:space="preserve">, </w:t>
      </w:r>
      <w:r w:rsidR="008F4BB5" w:rsidRPr="00A3372A">
        <w:t>N</w:t>
      </w:r>
      <w:r w:rsidR="00827243">
        <w:t>W</w:t>
      </w:r>
      <w:r w:rsidR="008F4BB5" w:rsidRPr="00A3372A">
        <w:t>T</w:t>
      </w:r>
      <w:r w:rsidR="0067399C" w:rsidRPr="00A3372A">
        <w:t>, NU</w:t>
      </w:r>
      <w:r w:rsidRPr="00A3372A">
        <w:t>), there was an additional emphasis on the importance of extended family and the broader community as users of grading information. “Schools are extensions of the cultures and languages of the communities they serve, so assessment must reflect the vision, values, and goals of the community” (</w:t>
      </w:r>
      <w:r w:rsidR="000C25D6" w:rsidRPr="00A3372A">
        <w:t>Educating All Our Children: Departmental Directive on Student Assessment, Evaluation and Reporting</w:t>
      </w:r>
      <w:r w:rsidR="00506B84" w:rsidRPr="00A3372A">
        <w:t>,</w:t>
      </w:r>
      <w:r w:rsidR="000C25D6" w:rsidRPr="00A3372A">
        <w:t xml:space="preserve"> </w:t>
      </w:r>
      <w:r w:rsidR="00D04DD4" w:rsidRPr="00A3372A">
        <w:t>Northwest Territories Education, Culture and Employment, 2001</w:t>
      </w:r>
      <w:r w:rsidR="00AC7F98">
        <w:t>,</w:t>
      </w:r>
      <w:r w:rsidR="00AC7F98" w:rsidRPr="00AC7F98">
        <w:t xml:space="preserve"> </w:t>
      </w:r>
      <w:r w:rsidR="00AC7F98">
        <w:t>as cited in MB3, p</w:t>
      </w:r>
      <w:r w:rsidR="00C94ED2">
        <w:t>.</w:t>
      </w:r>
      <w:r w:rsidR="00AC7F98">
        <w:t xml:space="preserve"> viii</w:t>
      </w:r>
      <w:r w:rsidR="00506B84" w:rsidRPr="00A3372A">
        <w:t xml:space="preserve">). </w:t>
      </w:r>
      <w:r w:rsidRPr="00A3372A">
        <w:t>Each of these</w:t>
      </w:r>
      <w:r w:rsidR="00E01DD5" w:rsidRPr="00A3372A">
        <w:t xml:space="preserve"> </w:t>
      </w:r>
      <w:r w:rsidR="00E01DD5" w:rsidRPr="00A3372A">
        <w:lastRenderedPageBreak/>
        <w:t>territories</w:t>
      </w:r>
      <w:r w:rsidRPr="00A3372A">
        <w:t xml:space="preserve"> also made explicit reference to the importance of integrating assessments that reflect their culture and/or community</w:t>
      </w:r>
      <w:r w:rsidR="00E01DD5" w:rsidRPr="00A3372A">
        <w:t xml:space="preserve">: </w:t>
      </w:r>
      <w:r w:rsidRPr="00A3372A">
        <w:t>“Assessment must be sensitive to the social, cultural, and linguistic backgrounds of students” (</w:t>
      </w:r>
      <w:r w:rsidR="00D3219E" w:rsidRPr="00A3372A">
        <w:t>NU</w:t>
      </w:r>
      <w:r w:rsidR="00071E1D" w:rsidRPr="00A3372A">
        <w:t xml:space="preserve">1, </w:t>
      </w:r>
      <w:r w:rsidR="007B5BE0" w:rsidRPr="00A3372A">
        <w:t>Department of Education</w:t>
      </w:r>
      <w:r w:rsidR="00D3219E" w:rsidRPr="00A3372A">
        <w:t>,</w:t>
      </w:r>
      <w:r w:rsidR="007B5BE0" w:rsidRPr="00A3372A">
        <w:t xml:space="preserve"> 2008,</w:t>
      </w:r>
      <w:r w:rsidR="00D3219E" w:rsidRPr="00A3372A">
        <w:t xml:space="preserve"> p. 33</w:t>
      </w:r>
      <w:r w:rsidRPr="00A3372A">
        <w:t xml:space="preserve">). </w:t>
      </w:r>
    </w:p>
    <w:p w14:paraId="797141F3" w14:textId="0CC4AAC6" w:rsidR="00A17F03" w:rsidRPr="00A3372A" w:rsidRDefault="00A17F03" w:rsidP="00801D8B">
      <w:pPr>
        <w:spacing w:line="480" w:lineRule="auto"/>
        <w:ind w:firstLine="851"/>
      </w:pPr>
      <w:r w:rsidRPr="00A3372A">
        <w:t xml:space="preserve">All but two of the provinces, identified </w:t>
      </w:r>
      <w:r w:rsidRPr="00A3372A">
        <w:rPr>
          <w:i/>
        </w:rPr>
        <w:t>feedback</w:t>
      </w:r>
      <w:r w:rsidRPr="00A3372A">
        <w:t xml:space="preserve"> as an integral part of the monitoring process. While summative assessment </w:t>
      </w:r>
      <w:r w:rsidR="004E06B5" w:rsidRPr="00A3372A">
        <w:t>was</w:t>
      </w:r>
      <w:r w:rsidRPr="00A3372A">
        <w:t xml:space="preserve"> used to monitor, and make judgments about student work, grades </w:t>
      </w:r>
      <w:r w:rsidR="004E06B5" w:rsidRPr="00A3372A">
        <w:t>were</w:t>
      </w:r>
      <w:r w:rsidRPr="00A3372A">
        <w:t xml:space="preserve"> also intended to provide feedback that “inform[s] and support[s] future teaching and learning” (MB</w:t>
      </w:r>
      <w:r w:rsidR="00071E1D" w:rsidRPr="00A3372A">
        <w:t>1</w:t>
      </w:r>
      <w:r w:rsidRPr="00A3372A">
        <w:t>,</w:t>
      </w:r>
      <w:r w:rsidR="00CB29FB" w:rsidRPr="00A3372A">
        <w:t xml:space="preserve"> </w:t>
      </w:r>
      <w:r w:rsidR="004E132B" w:rsidRPr="00A3372A">
        <w:t xml:space="preserve">Department of Manitoba Education, Citizenship and Youth, 2008, </w:t>
      </w:r>
      <w:r w:rsidRPr="00A3372A">
        <w:t>p.</w:t>
      </w:r>
      <w:r w:rsidR="00690426" w:rsidRPr="00A3372A">
        <w:t xml:space="preserve"> 12</w:t>
      </w:r>
      <w:r w:rsidRPr="00A3372A">
        <w:t>). By providing a summary of student achievement over a given period of time, or over a particular content area, grades identify students’ strengths and point to next steps. “If students are to successfully move on to the next stage, it is important to build into the learning environment reflection...and correction” (</w:t>
      </w:r>
      <w:r w:rsidR="001D6356" w:rsidRPr="00A3372A">
        <w:t xml:space="preserve">NU, Guidelines for Teaching in a Bilingual Setting, </w:t>
      </w:r>
      <w:r w:rsidRPr="00A3372A">
        <w:t xml:space="preserve">Nunavut Department </w:t>
      </w:r>
      <w:r w:rsidR="00AF20BF" w:rsidRPr="00A3372A">
        <w:t>of Education, 2000</w:t>
      </w:r>
      <w:r w:rsidR="003B0C71">
        <w:t>, as cited in MB3, p</w:t>
      </w:r>
      <w:r w:rsidR="00FC5A13">
        <w:t>.</w:t>
      </w:r>
      <w:r w:rsidR="003B0C71">
        <w:t xml:space="preserve"> viii</w:t>
      </w:r>
      <w:r w:rsidR="003B0C71">
        <w:rPr>
          <w:rStyle w:val="CommentReference"/>
          <w:rFonts w:asciiTheme="majorHAnsi" w:eastAsiaTheme="minorEastAsia" w:hAnsiTheme="majorHAnsi" w:cstheme="minorBidi"/>
        </w:rPr>
        <w:t xml:space="preserve"> </w:t>
      </w:r>
      <w:r w:rsidRPr="00A3372A">
        <w:t>).</w:t>
      </w:r>
    </w:p>
    <w:p w14:paraId="08FBFAD2" w14:textId="2ECB9811" w:rsidR="00A17F03" w:rsidRPr="00A3372A" w:rsidRDefault="00A17F03" w:rsidP="00801D8B">
      <w:pPr>
        <w:spacing w:line="480" w:lineRule="auto"/>
        <w:ind w:firstLine="851"/>
      </w:pPr>
      <w:r w:rsidRPr="00F62BC5">
        <w:t xml:space="preserve">Although feedback was </w:t>
      </w:r>
      <w:r w:rsidR="00E01DD5">
        <w:t>prominently articulated in grading policies</w:t>
      </w:r>
      <w:r w:rsidRPr="00F62BC5">
        <w:t xml:space="preserve">, some provinces also paid particular attention to </w:t>
      </w:r>
      <w:r w:rsidRPr="00F62BC5">
        <w:rPr>
          <w:i/>
        </w:rPr>
        <w:t>accountability</w:t>
      </w:r>
      <w:r w:rsidRPr="00F62BC5">
        <w:t xml:space="preserve"> (</w:t>
      </w:r>
      <w:r w:rsidR="00BB7B19">
        <w:t>New Brunswick, Nova Scotia</w:t>
      </w:r>
      <w:r w:rsidR="00107B2E">
        <w:t>) and reporting/communication (</w:t>
      </w:r>
      <w:r w:rsidR="008F4BB5" w:rsidRPr="00107B2E">
        <w:t>N</w:t>
      </w:r>
      <w:r w:rsidR="00827243">
        <w:t>W</w:t>
      </w:r>
      <w:r w:rsidR="008F4BB5" w:rsidRPr="00107B2E">
        <w:t>T</w:t>
      </w:r>
      <w:r w:rsidRPr="00107B2E">
        <w:t>).</w:t>
      </w:r>
      <w:r w:rsidRPr="00F62BC5">
        <w:t xml:space="preserve"> In terms of accountability, NB sets, monitors, and reports on </w:t>
      </w:r>
      <w:r w:rsidR="00107B2E">
        <w:t xml:space="preserve">specific targets for its </w:t>
      </w:r>
      <w:r w:rsidRPr="00F62BC5">
        <w:t>literacy, numeracy, and science provincial assessments. For example, “85% of students [</w:t>
      </w:r>
      <w:r w:rsidRPr="00A3372A">
        <w:t>are expected to] reach or exceed the standard in grades 6-12 on provincial assessments of literacy, numeracy, and science” (</w:t>
      </w:r>
      <w:r w:rsidR="0012483D" w:rsidRPr="00A3372A">
        <w:t>NB</w:t>
      </w:r>
      <w:r w:rsidR="00810668" w:rsidRPr="00A3372A">
        <w:t>1</w:t>
      </w:r>
      <w:r w:rsidR="0012483D" w:rsidRPr="00A3372A">
        <w:t>, Department of Education and Ea</w:t>
      </w:r>
      <w:r w:rsidR="00A3372A">
        <w:t>rly Childhood Development, 2013</w:t>
      </w:r>
      <w:r w:rsidR="004F32CE" w:rsidRPr="00A3372A">
        <w:t>, p. 17</w:t>
      </w:r>
      <w:r w:rsidRPr="00A3372A">
        <w:t xml:space="preserve">). This </w:t>
      </w:r>
      <w:r w:rsidR="00482634" w:rsidRPr="00A3372A">
        <w:t>was</w:t>
      </w:r>
      <w:r w:rsidRPr="00A3372A">
        <w:t xml:space="preserve"> considered an “important part of [their] overall accountability framework” (</w:t>
      </w:r>
      <w:r w:rsidR="004549AC" w:rsidRPr="00A3372A">
        <w:t>NB</w:t>
      </w:r>
      <w:r w:rsidR="007A6E83" w:rsidRPr="00A3372A">
        <w:t>1</w:t>
      </w:r>
      <w:r w:rsidR="004549AC" w:rsidRPr="00A3372A">
        <w:t>, Brunswick Department of Education and Early Childhood Development, 2013</w:t>
      </w:r>
      <w:r w:rsidRPr="00A3372A">
        <w:t>, p. 18)</w:t>
      </w:r>
      <w:r w:rsidR="00482634" w:rsidRPr="00A3372A">
        <w:t xml:space="preserve"> and aimed</w:t>
      </w:r>
      <w:r w:rsidRPr="00A3372A">
        <w:t xml:space="preserve"> to ensure that their education system </w:t>
      </w:r>
      <w:r w:rsidR="00482634" w:rsidRPr="00A3372A">
        <w:t>was</w:t>
      </w:r>
      <w:r w:rsidRPr="00A3372A">
        <w:t xml:space="preserve"> improving on its provincial goals and st</w:t>
      </w:r>
      <w:r w:rsidR="00482634" w:rsidRPr="00A3372A">
        <w:t>andards over time. NS emphasized</w:t>
      </w:r>
      <w:r w:rsidRPr="00A3372A">
        <w:t xml:space="preserve"> accountability at the classroom/school level with “assessment [based] on achievement of standards for which schools, teachers and </w:t>
      </w:r>
      <w:r w:rsidRPr="00A3372A">
        <w:lastRenderedPageBreak/>
        <w:t>students are held accountable” (NS</w:t>
      </w:r>
      <w:r w:rsidR="004F4C42" w:rsidRPr="00A3372A">
        <w:t>1</w:t>
      </w:r>
      <w:r w:rsidR="00004AA9" w:rsidRPr="00A3372A">
        <w:rPr>
          <w:i/>
          <w:lang w:val="en-CA"/>
        </w:rPr>
        <w:t xml:space="preserve">, </w:t>
      </w:r>
      <w:r w:rsidR="00004AA9" w:rsidRPr="00A3372A">
        <w:rPr>
          <w:lang w:val="en-CA"/>
        </w:rPr>
        <w:t>Annapolis Valley Regional School Board, AVRSB, 2005,</w:t>
      </w:r>
      <w:r w:rsidR="00004AA9" w:rsidRPr="00A3372A">
        <w:t xml:space="preserve"> p. </w:t>
      </w:r>
      <w:r w:rsidR="00E25599" w:rsidRPr="00A3372A">
        <w:t>13</w:t>
      </w:r>
      <w:r w:rsidRPr="00A3372A">
        <w:t>).</w:t>
      </w:r>
    </w:p>
    <w:p w14:paraId="45D2015D" w14:textId="7BCCF41D" w:rsidR="00A17F03" w:rsidRPr="00A3372A" w:rsidRDefault="00A17F03" w:rsidP="00801D8B">
      <w:pPr>
        <w:spacing w:line="480" w:lineRule="auto"/>
        <w:ind w:firstLine="851"/>
      </w:pPr>
      <w:r w:rsidRPr="00A3372A">
        <w:t xml:space="preserve">A few provinces also identified </w:t>
      </w:r>
      <w:r w:rsidRPr="00A3372A">
        <w:rPr>
          <w:i/>
        </w:rPr>
        <w:t>sorting</w:t>
      </w:r>
      <w:r w:rsidRPr="00A3372A">
        <w:t xml:space="preserve"> as a reason for summative assessment</w:t>
      </w:r>
      <w:r w:rsidR="00E01DD5" w:rsidRPr="00A3372A">
        <w:t xml:space="preserve"> and grades</w:t>
      </w:r>
      <w:r w:rsidRPr="00A3372A">
        <w:t>. “Grades may be used to sort students for acceptance into post-secondary programs or for scholarships</w:t>
      </w:r>
      <w:r w:rsidR="00E25599" w:rsidRPr="00A3372A">
        <w:t>”</w:t>
      </w:r>
      <w:r w:rsidRPr="00A3372A">
        <w:t xml:space="preserve"> (MB</w:t>
      </w:r>
      <w:r w:rsidR="008314F2" w:rsidRPr="00A3372A">
        <w:t>1</w:t>
      </w:r>
      <w:r w:rsidRPr="00A3372A">
        <w:t xml:space="preserve">, </w:t>
      </w:r>
      <w:r w:rsidR="00E25599" w:rsidRPr="00A3372A">
        <w:t>Department of Manitoba Education, Citizenship and Youth, 2008</w:t>
      </w:r>
      <w:r w:rsidR="00CE28C4" w:rsidRPr="00A3372A">
        <w:t xml:space="preserve"> p. 28</w:t>
      </w:r>
      <w:r w:rsidRPr="00A3372A">
        <w:t>). However, sorting was not emphasized as one of the main purposes in any province. “</w:t>
      </w:r>
      <w:r w:rsidRPr="00A3372A">
        <w:rPr>
          <w:bCs/>
        </w:rPr>
        <w:t>Greater emphasis is being placed on using assessment to focus on learning rather than on using assessment to accumulate marks or compete with others” (</w:t>
      </w:r>
      <w:r w:rsidRPr="00A3372A">
        <w:t>MB</w:t>
      </w:r>
      <w:r w:rsidR="008314F2" w:rsidRPr="00A3372A">
        <w:t>1</w:t>
      </w:r>
      <w:r w:rsidRPr="00A3372A">
        <w:t xml:space="preserve">, </w:t>
      </w:r>
      <w:r w:rsidR="00CC504D" w:rsidRPr="00A3372A">
        <w:t>Department of Manitoba Education, Citizenship and Youth, 2008</w:t>
      </w:r>
      <w:r w:rsidR="000D3BB3" w:rsidRPr="00A3372A">
        <w:t>, p. 1</w:t>
      </w:r>
      <w:r w:rsidRPr="00A3372A">
        <w:t>). While grades do ultimately result in the sorting of students (e.g.</w:t>
      </w:r>
      <w:r w:rsidR="00036A2D" w:rsidRPr="00A3372A">
        <w:t>,</w:t>
      </w:r>
      <w:r w:rsidRPr="00A3372A">
        <w:t xml:space="preserve"> admission into university</w:t>
      </w:r>
      <w:r w:rsidR="00036A2D" w:rsidRPr="00A3372A">
        <w:t>, funding decisions</w:t>
      </w:r>
      <w:r w:rsidRPr="00A3372A">
        <w:t>), monitoring and feedback were identified as the main intentions of summative assessment in</w:t>
      </w:r>
      <w:r w:rsidR="00036A2D" w:rsidRPr="00A3372A">
        <w:t xml:space="preserve"> </w:t>
      </w:r>
      <w:r w:rsidRPr="00A3372A">
        <w:t>provincial policy documents.</w:t>
      </w:r>
    </w:p>
    <w:p w14:paraId="5708A0EA" w14:textId="4EABA0CD" w:rsidR="00525D61" w:rsidRPr="00F62BC5" w:rsidRDefault="00525D61" w:rsidP="00801D8B">
      <w:pPr>
        <w:spacing w:line="480" w:lineRule="auto"/>
        <w:outlineLvl w:val="0"/>
        <w:rPr>
          <w:b/>
        </w:rPr>
      </w:pPr>
      <w:r w:rsidRPr="00A3372A">
        <w:rPr>
          <w:b/>
        </w:rPr>
        <w:t>Methods</w:t>
      </w:r>
      <w:r w:rsidR="00812002" w:rsidRPr="00A3372A">
        <w:rPr>
          <w:b/>
        </w:rPr>
        <w:t xml:space="preserve"> for Generating Grades</w:t>
      </w:r>
    </w:p>
    <w:p w14:paraId="00C8B952" w14:textId="23BFDFBF" w:rsidR="00C51EAF" w:rsidRPr="00F62BC5" w:rsidRDefault="00A17F03" w:rsidP="00801D8B">
      <w:pPr>
        <w:spacing w:line="480" w:lineRule="auto"/>
        <w:ind w:left="-57" w:firstLine="720"/>
        <w:contextualSpacing/>
      </w:pPr>
      <w:r w:rsidRPr="00F62BC5">
        <w:t>Canadian provinces and territories generate</w:t>
      </w:r>
      <w:r w:rsidR="007B188D">
        <w:t>d</w:t>
      </w:r>
      <w:r w:rsidRPr="00F62BC5">
        <w:t xml:space="preserve"> and report</w:t>
      </w:r>
      <w:r w:rsidR="007B188D">
        <w:t>ed</w:t>
      </w:r>
      <w:r w:rsidRPr="00F62BC5">
        <w:t xml:space="preserve"> grades using different methods. These differences </w:t>
      </w:r>
      <w:r w:rsidR="00376DE4">
        <w:t>were</w:t>
      </w:r>
      <w:r w:rsidRPr="00F62BC5">
        <w:t xml:space="preserve"> seen at both the elementary and secondary levels across Canada</w:t>
      </w:r>
      <w:r w:rsidR="006E19A0">
        <w:t>.</w:t>
      </w:r>
      <w:r w:rsidRPr="00F62BC5">
        <w:t xml:space="preserve"> For many of the provinces and territories letter grades </w:t>
      </w:r>
      <w:r w:rsidR="00376DE4">
        <w:t>were</w:t>
      </w:r>
      <w:r w:rsidRPr="00F62BC5">
        <w:t xml:space="preserve"> used at the elementary level whereas percentages tend to be used at the secondary level to report student achievement. </w:t>
      </w:r>
    </w:p>
    <w:p w14:paraId="69537B95" w14:textId="40760F9A" w:rsidR="00C51EAF" w:rsidRPr="00300882" w:rsidRDefault="004624F8" w:rsidP="00801D8B">
      <w:pPr>
        <w:spacing w:line="480" w:lineRule="auto"/>
        <w:contextualSpacing/>
        <w:outlineLvl w:val="0"/>
        <w:rPr>
          <w:b/>
          <w:i/>
        </w:rPr>
      </w:pPr>
      <w:r w:rsidRPr="00300882">
        <w:rPr>
          <w:b/>
          <w:i/>
        </w:rPr>
        <w:t>Scales</w:t>
      </w:r>
    </w:p>
    <w:p w14:paraId="7CBA0DFC" w14:textId="5A1B79C1" w:rsidR="00273E6F" w:rsidRPr="00300882" w:rsidRDefault="0096195F" w:rsidP="00801D8B">
      <w:pPr>
        <w:spacing w:line="480" w:lineRule="auto"/>
      </w:pPr>
      <w:r w:rsidRPr="00300882">
        <w:t xml:space="preserve">              </w:t>
      </w:r>
      <w:r w:rsidR="00300882" w:rsidRPr="00300882">
        <w:t xml:space="preserve">It seems that across Canada although percentages were used to report student achievement for older students, the grade level in which percentages are introduced varies. MB and ON (MB2, Manitoba Education and Advanced Learning, 2015; </w:t>
      </w:r>
      <w:r w:rsidR="00300882" w:rsidRPr="00300882">
        <w:rPr>
          <w:lang w:val="en-CA"/>
        </w:rPr>
        <w:t>ON1, MOE, 2010)</w:t>
      </w:r>
      <w:r w:rsidR="00300882" w:rsidRPr="00300882">
        <w:t xml:space="preserve"> both used percentages to describe student achievement from Grades 7-12 whereas they are used in Grades 8-12 for Newfoundland (NL1, </w:t>
      </w:r>
      <w:r w:rsidR="00300882" w:rsidRPr="00300882">
        <w:rPr>
          <w:lang w:val="en-CA"/>
        </w:rPr>
        <w:t>Department of Education, 2013)</w:t>
      </w:r>
      <w:r w:rsidR="00300882" w:rsidRPr="00300882">
        <w:t xml:space="preserve"> and grades 10-12 for Alberta (AB1, Alberta Education, 2015) and YT. The scale for grading at the secondary level is left to </w:t>
      </w:r>
      <w:r w:rsidR="00300882" w:rsidRPr="00300882">
        <w:lastRenderedPageBreak/>
        <w:t xml:space="preserve">the discretion of individual schools in QC, which is different to the other provinces and territories that mandated how student achievement should be reported (QC2, MEQ, 2011). </w:t>
      </w:r>
      <w:r w:rsidR="00BB7B19" w:rsidRPr="00300882">
        <w:t>British Columbia</w:t>
      </w:r>
      <w:r w:rsidR="007E4FB8" w:rsidRPr="00300882">
        <w:t xml:space="preserve"> and the YT</w:t>
      </w:r>
      <w:r w:rsidR="00A17F03" w:rsidRPr="00300882">
        <w:t xml:space="preserve"> use</w:t>
      </w:r>
      <w:r w:rsidR="00376DE4" w:rsidRPr="00300882">
        <w:t>d</w:t>
      </w:r>
      <w:r w:rsidR="00A17F03" w:rsidRPr="00300882">
        <w:t xml:space="preserve"> performance scales to report student achievement</w:t>
      </w:r>
      <w:r w:rsidR="002537C5" w:rsidRPr="00300882">
        <w:t xml:space="preserve"> in relation to learn</w:t>
      </w:r>
      <w:r w:rsidR="00083881" w:rsidRPr="00300882">
        <w:t>ing outcomes</w:t>
      </w:r>
      <w:r w:rsidRPr="00300882">
        <w:t xml:space="preserve"> as either: approaching expectations, meeting expectations, exceeding expectations</w:t>
      </w:r>
      <w:r w:rsidR="00083881" w:rsidRPr="00300882">
        <w:t xml:space="preserve"> </w:t>
      </w:r>
      <w:r w:rsidR="002537C5" w:rsidRPr="00300882">
        <w:t xml:space="preserve">for </w:t>
      </w:r>
      <w:r w:rsidR="00A17F03" w:rsidRPr="00300882">
        <w:t xml:space="preserve">grades Kindergarten through to Grade 3 </w:t>
      </w:r>
      <w:r w:rsidR="00577352" w:rsidRPr="00300882">
        <w:t>(</w:t>
      </w:r>
      <w:r w:rsidRPr="00300882">
        <w:t>BC</w:t>
      </w:r>
      <w:r w:rsidR="002D1B4F" w:rsidRPr="00300882">
        <w:t>1</w:t>
      </w:r>
      <w:r w:rsidR="00454466" w:rsidRPr="00300882">
        <w:t>,</w:t>
      </w:r>
      <w:r w:rsidR="002D1B4F" w:rsidRPr="00300882">
        <w:t xml:space="preserve"> MOE,</w:t>
      </w:r>
      <w:r w:rsidR="00454466" w:rsidRPr="00300882">
        <w:t xml:space="preserve"> 2009; </w:t>
      </w:r>
      <w:r w:rsidR="00645F62" w:rsidRPr="00300882">
        <w:rPr>
          <w:lang w:val="en-CA"/>
        </w:rPr>
        <w:t>YT1</w:t>
      </w:r>
      <w:r w:rsidR="00454466" w:rsidRPr="00300882">
        <w:rPr>
          <w:lang w:val="en-CA"/>
        </w:rPr>
        <w:t>,</w:t>
      </w:r>
      <w:r w:rsidR="003F77D2" w:rsidRPr="00300882">
        <w:rPr>
          <w:lang w:val="en-CA"/>
        </w:rPr>
        <w:t xml:space="preserve"> Yukon Education,</w:t>
      </w:r>
      <w:r w:rsidR="00454466" w:rsidRPr="00300882">
        <w:rPr>
          <w:lang w:val="en-CA"/>
        </w:rPr>
        <w:t xml:space="preserve"> 2011)</w:t>
      </w:r>
      <w:r w:rsidR="00A17F03" w:rsidRPr="00300882">
        <w:t xml:space="preserve">. </w:t>
      </w:r>
      <w:r w:rsidR="00BB7B19" w:rsidRPr="00300882">
        <w:t>Manitoba</w:t>
      </w:r>
      <w:r w:rsidR="00C7600A" w:rsidRPr="00300882">
        <w:t xml:space="preserve"> used</w:t>
      </w:r>
      <w:r w:rsidR="00A17F03" w:rsidRPr="00300882">
        <w:t xml:space="preserve"> an ordinal scale ranging from 1-4 to report student achievement up to grade 6</w:t>
      </w:r>
      <w:r w:rsidR="00C47D2C" w:rsidRPr="00300882">
        <w:t xml:space="preserve"> (MB2, Manitoba Education and Advanced Learning, 2015.</w:t>
      </w:r>
    </w:p>
    <w:p w14:paraId="4C0A04D9" w14:textId="5114962E" w:rsidR="00C51EAF" w:rsidRPr="00A3372A" w:rsidRDefault="00BF0074" w:rsidP="00801D8B">
      <w:pPr>
        <w:spacing w:line="480" w:lineRule="auto"/>
        <w:contextualSpacing/>
        <w:outlineLvl w:val="0"/>
        <w:rPr>
          <w:i/>
        </w:rPr>
      </w:pPr>
      <w:r w:rsidRPr="00A3372A">
        <w:rPr>
          <w:b/>
          <w:i/>
        </w:rPr>
        <w:t>Constructing Grades</w:t>
      </w:r>
    </w:p>
    <w:p w14:paraId="75A61C85" w14:textId="57F87955" w:rsidR="00A17F03" w:rsidRPr="00A3372A" w:rsidRDefault="00751817" w:rsidP="00801D8B">
      <w:pPr>
        <w:spacing w:line="480" w:lineRule="auto"/>
        <w:ind w:left="-57" w:firstLine="720"/>
        <w:contextualSpacing/>
      </w:pPr>
      <w:r w:rsidRPr="00A3372A">
        <w:t>MB</w:t>
      </w:r>
      <w:r w:rsidR="00A17F03" w:rsidRPr="00A3372A">
        <w:t>,</w:t>
      </w:r>
      <w:r w:rsidRPr="00A3372A">
        <w:t xml:space="preserve"> YT</w:t>
      </w:r>
      <w:r w:rsidR="00A17F03" w:rsidRPr="00A3372A">
        <w:t xml:space="preserve">, </w:t>
      </w:r>
      <w:r w:rsidRPr="00A3372A">
        <w:t>NB</w:t>
      </w:r>
      <w:r w:rsidR="00A17F03" w:rsidRPr="00A3372A">
        <w:t xml:space="preserve">, </w:t>
      </w:r>
      <w:r w:rsidRPr="00A3372A">
        <w:t>NS</w:t>
      </w:r>
      <w:r w:rsidR="00A17F03" w:rsidRPr="00A3372A">
        <w:t>, Q</w:t>
      </w:r>
      <w:r w:rsidRPr="00A3372A">
        <w:t>C</w:t>
      </w:r>
      <w:r w:rsidR="00A17F03" w:rsidRPr="00A3372A">
        <w:t>, and O</w:t>
      </w:r>
      <w:r w:rsidRPr="00A3372A">
        <w:t>N</w:t>
      </w:r>
      <w:r w:rsidR="00A17F03" w:rsidRPr="00A3372A">
        <w:t xml:space="preserve"> maintain</w:t>
      </w:r>
      <w:r w:rsidR="00B65D88" w:rsidRPr="00A3372A">
        <w:t>ed</w:t>
      </w:r>
      <w:r w:rsidR="00A17F03" w:rsidRPr="00A3372A">
        <w:t xml:space="preserve"> a teacher-</w:t>
      </w:r>
      <w:r w:rsidR="00BF0074" w:rsidRPr="00A3372A">
        <w:t>centered</w:t>
      </w:r>
      <w:r w:rsidR="00A17F03" w:rsidRPr="00A3372A">
        <w:t xml:space="preserve"> approach for </w:t>
      </w:r>
      <w:r w:rsidR="006E19A0" w:rsidRPr="00A3372A">
        <w:t>assigning</w:t>
      </w:r>
      <w:r w:rsidR="00A17F03" w:rsidRPr="00A3372A">
        <w:t xml:space="preserve"> grades</w:t>
      </w:r>
      <w:r w:rsidR="00BF0074" w:rsidRPr="00A3372A">
        <w:t xml:space="preserve">. </w:t>
      </w:r>
      <w:r w:rsidR="00A17F03" w:rsidRPr="00A3372A">
        <w:t>For all provinces and territories (except NB) the policy documents explicitly mention</w:t>
      </w:r>
      <w:r w:rsidR="00810A08" w:rsidRPr="00A3372A">
        <w:t>ed</w:t>
      </w:r>
      <w:r w:rsidR="00A17F03" w:rsidRPr="00A3372A">
        <w:t xml:space="preserve"> how grades </w:t>
      </w:r>
      <w:r w:rsidR="006E19A0" w:rsidRPr="00A3372A">
        <w:t>should be</w:t>
      </w:r>
      <w:r w:rsidR="00A17F03" w:rsidRPr="00A3372A">
        <w:t xml:space="preserve"> assigned based upon student achievement of learning and curricular outcomes. </w:t>
      </w:r>
      <w:r w:rsidRPr="00A3372A">
        <w:t>MB</w:t>
      </w:r>
      <w:r w:rsidR="00A17F03" w:rsidRPr="00A3372A">
        <w:t xml:space="preserve"> and </w:t>
      </w:r>
      <w:r w:rsidRPr="00A3372A">
        <w:t>ON</w:t>
      </w:r>
      <w:r w:rsidR="00A17F03" w:rsidRPr="00A3372A">
        <w:t xml:space="preserve"> emphasize</w:t>
      </w:r>
      <w:r w:rsidR="00810A08" w:rsidRPr="00A3372A">
        <w:t>d</w:t>
      </w:r>
      <w:r w:rsidR="00A17F03" w:rsidRPr="00A3372A">
        <w:t xml:space="preserve"> that the most recent and consistent demonstrations of student achievement </w:t>
      </w:r>
      <w:r w:rsidR="00E45895" w:rsidRPr="00A3372A">
        <w:t>are given priority when constructing grades</w:t>
      </w:r>
      <w:r w:rsidR="00A17F03" w:rsidRPr="00A3372A">
        <w:t xml:space="preserve">. </w:t>
      </w:r>
      <w:r w:rsidR="00BB2542" w:rsidRPr="00A3372A">
        <w:t>BC</w:t>
      </w:r>
      <w:r w:rsidR="00A17F03" w:rsidRPr="00A3372A">
        <w:t xml:space="preserve"> and Manitoba </w:t>
      </w:r>
      <w:r w:rsidR="00810A08" w:rsidRPr="00A3372A">
        <w:t>were</w:t>
      </w:r>
      <w:r w:rsidR="00A3257B" w:rsidRPr="00A3372A">
        <w:t xml:space="preserve"> specific and </w:t>
      </w:r>
      <w:r w:rsidR="00A17F03" w:rsidRPr="00A3372A">
        <w:t>provide</w:t>
      </w:r>
      <w:r w:rsidR="00810A08" w:rsidRPr="00A3372A">
        <w:t>d</w:t>
      </w:r>
      <w:r w:rsidR="00A17F03" w:rsidRPr="00A3372A">
        <w:t xml:space="preserve"> explicit examples for teachers to follow</w:t>
      </w:r>
      <w:r w:rsidR="00A3257B" w:rsidRPr="00A3372A">
        <w:t xml:space="preserve"> when assigning grades</w:t>
      </w:r>
      <w:r w:rsidR="00A17F03" w:rsidRPr="00A3372A">
        <w:t>. Interestingly, Manitoba</w:t>
      </w:r>
      <w:r w:rsidR="00A3257B" w:rsidRPr="00A3372A">
        <w:t xml:space="preserve"> and</w:t>
      </w:r>
      <w:r w:rsidR="00A17F03" w:rsidRPr="00A3372A">
        <w:t xml:space="preserve"> New Brunswick</w:t>
      </w:r>
      <w:r w:rsidR="002C571A" w:rsidRPr="00A3372A">
        <w:t xml:space="preserve"> (</w:t>
      </w:r>
      <w:r w:rsidR="00FB1397" w:rsidRPr="00A3372A">
        <w:t>MB</w:t>
      </w:r>
      <w:r w:rsidR="00573D90" w:rsidRPr="00A3372A">
        <w:t>1, Department of Manitoba Education, Citizenship and Youth, 2008</w:t>
      </w:r>
      <w:r w:rsidR="005F1D26" w:rsidRPr="00A3372A">
        <w:t xml:space="preserve">; </w:t>
      </w:r>
      <w:r w:rsidR="00E223BA" w:rsidRPr="00A3372A">
        <w:t>NB</w:t>
      </w:r>
      <w:r w:rsidR="005F1D26" w:rsidRPr="00A3372A">
        <w:t>2,</w:t>
      </w:r>
      <w:r w:rsidR="00D77141" w:rsidRPr="00A3372A">
        <w:rPr>
          <w:lang w:val="en-CA"/>
        </w:rPr>
        <w:t xml:space="preserve"> Department of Education and Early Childhood Development</w:t>
      </w:r>
      <w:r w:rsidR="00E223BA" w:rsidRPr="00A3372A">
        <w:t>, 2013)</w:t>
      </w:r>
      <w:r w:rsidR="00A17F03" w:rsidRPr="00A3372A">
        <w:t xml:space="preserve"> </w:t>
      </w:r>
      <w:r w:rsidR="00810A08" w:rsidRPr="00A3372A">
        <w:t>had</w:t>
      </w:r>
      <w:r w:rsidR="00A3257B" w:rsidRPr="00A3372A">
        <w:t xml:space="preserve"> templates for constructing report cards.</w:t>
      </w:r>
      <w:r w:rsidR="00A17F03" w:rsidRPr="00A3372A">
        <w:t xml:space="preserve"> </w:t>
      </w:r>
    </w:p>
    <w:p w14:paraId="53E8A647" w14:textId="284C969F" w:rsidR="006E19A0" w:rsidRPr="00A3372A" w:rsidRDefault="00A17F03" w:rsidP="00801D8B">
      <w:pPr>
        <w:spacing w:line="480" w:lineRule="auto"/>
        <w:ind w:left="-57" w:firstLine="720"/>
        <w:contextualSpacing/>
      </w:pPr>
      <w:r w:rsidRPr="00A3372A">
        <w:tab/>
        <w:t xml:space="preserve">A very explicit and detailed document focusing upon the three types of assessment </w:t>
      </w:r>
      <w:r w:rsidR="00810A08" w:rsidRPr="00A3372A">
        <w:t>was</w:t>
      </w:r>
      <w:r w:rsidRPr="00A3372A">
        <w:t xml:space="preserve"> used by the Western provinces and Northern territories titled ‘</w:t>
      </w:r>
      <w:r w:rsidRPr="00A3372A">
        <w:rPr>
          <w:i/>
        </w:rPr>
        <w:t>Rethinking Classroom Assessm</w:t>
      </w:r>
      <w:r w:rsidR="005D1031" w:rsidRPr="00A3372A">
        <w:rPr>
          <w:i/>
        </w:rPr>
        <w:t>ent w</w:t>
      </w:r>
      <w:r w:rsidR="00387ACF" w:rsidRPr="00A3372A">
        <w:rPr>
          <w:i/>
        </w:rPr>
        <w:t xml:space="preserve">ith Purpose in Mind’ </w:t>
      </w:r>
      <w:r w:rsidR="00387ACF" w:rsidRPr="00A3372A">
        <w:t>(</w:t>
      </w:r>
      <w:r w:rsidR="00C07ADA" w:rsidRPr="00A3372A">
        <w:t xml:space="preserve">MB3, </w:t>
      </w:r>
      <w:r w:rsidR="00EF658A" w:rsidRPr="00A3372A">
        <w:t>Department of Manitoba Education, Citizenship and Youth</w:t>
      </w:r>
      <w:r w:rsidR="00C07ADA" w:rsidRPr="00A3372A">
        <w:t>,</w:t>
      </w:r>
      <w:r w:rsidR="00EF658A" w:rsidRPr="00A3372A">
        <w:t xml:space="preserve"> </w:t>
      </w:r>
      <w:r w:rsidR="00387ACF" w:rsidRPr="00A3372A">
        <w:t>2006</w:t>
      </w:r>
      <w:r w:rsidRPr="00A3372A">
        <w:t>)</w:t>
      </w:r>
      <w:r w:rsidR="00387ACF" w:rsidRPr="00A3372A">
        <w:t>.</w:t>
      </w:r>
      <w:r w:rsidRPr="00525D61">
        <w:t xml:space="preserve"> Clear distinctions </w:t>
      </w:r>
      <w:r w:rsidR="00810A08">
        <w:t>were</w:t>
      </w:r>
      <w:r w:rsidRPr="00525D61">
        <w:t xml:space="preserve"> made between ‘assessment of, for, and as learning’ providing teachers with support as they evaluate student learning. </w:t>
      </w:r>
      <w:r w:rsidR="00004655">
        <w:t>F</w:t>
      </w:r>
      <w:r w:rsidR="006A5B58">
        <w:t xml:space="preserve">urther, the document discussed balance and tensions between </w:t>
      </w:r>
      <w:r w:rsidR="00F82A04">
        <w:t xml:space="preserve">the different types of </w:t>
      </w:r>
      <w:r w:rsidR="006A5B58">
        <w:t>assessment. “A</w:t>
      </w:r>
      <w:r w:rsidR="006A5B58" w:rsidRPr="006A5B58">
        <w:t xml:space="preserve">ssessment for learning, assessment as </w:t>
      </w:r>
      <w:r w:rsidR="006A5B58" w:rsidRPr="006A5B58">
        <w:lastRenderedPageBreak/>
        <w:t>learning, and assessment of learning all serve valuable, and different, purposes. It is not always easy, however, getting the balance right. If we want to enhance learning for all students, the role of assessment for learning and assessment as learning takes on a much higher profile than assessment of learning</w:t>
      </w:r>
      <w:r w:rsidR="00F82A04">
        <w:t>” (p. 14)</w:t>
      </w:r>
      <w:r w:rsidR="006A5B58" w:rsidRPr="006A5B58">
        <w:t>. Traditionally, the focus of classroom assessment has been on assessment of learning</w:t>
      </w:r>
      <w:r w:rsidR="006E088E">
        <w:t xml:space="preserve"> (AOL)</w:t>
      </w:r>
      <w:r w:rsidR="006A5B58" w:rsidRPr="006A5B58">
        <w:t xml:space="preserve">—measuring learning after the fact, using the information to make </w:t>
      </w:r>
      <w:r w:rsidR="00300882" w:rsidRPr="006A5B58">
        <w:t>judgments</w:t>
      </w:r>
      <w:r w:rsidR="006A5B58" w:rsidRPr="006A5B58">
        <w:t xml:space="preserve"> about students’ performances, and reporting these </w:t>
      </w:r>
      <w:r w:rsidR="00300882" w:rsidRPr="006A5B58">
        <w:t>judgments</w:t>
      </w:r>
      <w:r w:rsidR="006A5B58" w:rsidRPr="006A5B58">
        <w:t xml:space="preserve"> to others. Teachers traditionally have also been using </w:t>
      </w:r>
      <w:r w:rsidR="006E088E">
        <w:t>AFL</w:t>
      </w:r>
      <w:r w:rsidR="006A5B58" w:rsidRPr="006A5B58">
        <w:t xml:space="preserve"> when they built in diagnostic processes, formative assessment, and feedback at various stages in the teaching and learning process, though it was often informal and implicit. Systematic </w:t>
      </w:r>
      <w:r w:rsidR="006E088E">
        <w:t>AAL</w:t>
      </w:r>
      <w:r w:rsidR="006A5B58" w:rsidRPr="006A5B58">
        <w:t>—where students become critical analysts of their own learning—was rare</w:t>
      </w:r>
      <w:r w:rsidR="006E088E">
        <w:t xml:space="preserve"> across policy documents</w:t>
      </w:r>
      <w:r w:rsidR="006A5B58" w:rsidRPr="006A5B58">
        <w:t>. Although some teachers have incorporated self-</w:t>
      </w:r>
      <w:r w:rsidR="006A5B58" w:rsidRPr="00A3372A">
        <w:t>assessment into their programs, few have systematically or explicitly used assessment to develop students’ capacity to evaluate and adapt their own learning</w:t>
      </w:r>
      <w:r w:rsidR="00ED0EE3" w:rsidRPr="00A3372A">
        <w:t xml:space="preserve">. </w:t>
      </w:r>
      <w:r w:rsidR="006A5B58" w:rsidRPr="00A3372A">
        <w:t xml:space="preserve"> </w:t>
      </w:r>
      <w:r w:rsidR="00004655" w:rsidRPr="00A3372A">
        <w:t xml:space="preserve"> </w:t>
      </w:r>
    </w:p>
    <w:p w14:paraId="00A10BE9" w14:textId="0BD8BD18" w:rsidR="00A17F03" w:rsidRPr="00A3372A" w:rsidRDefault="00C80A2B" w:rsidP="00801D8B">
      <w:pPr>
        <w:spacing w:line="480" w:lineRule="auto"/>
        <w:ind w:left="-57" w:firstLine="720"/>
        <w:contextualSpacing/>
      </w:pPr>
      <w:r w:rsidRPr="00A3372A">
        <w:t>The evidence that contribute</w:t>
      </w:r>
      <w:r w:rsidR="001D72A6" w:rsidRPr="00A3372A">
        <w:t>s</w:t>
      </w:r>
      <w:r w:rsidR="00A17F03" w:rsidRPr="00A3372A">
        <w:t xml:space="preserve"> to generating student grades </w:t>
      </w:r>
      <w:r w:rsidR="001D72A6" w:rsidRPr="00A3372A">
        <w:t>was</w:t>
      </w:r>
      <w:r w:rsidR="00A17F03" w:rsidRPr="00A3372A">
        <w:t xml:space="preserve"> articulated differently across Canada. Manitoba </w:t>
      </w:r>
      <w:r w:rsidR="001D72A6" w:rsidRPr="00A3372A">
        <w:t>articulated</w:t>
      </w:r>
      <w:r w:rsidR="00AB2CF6" w:rsidRPr="00A3372A">
        <w:t xml:space="preserve"> </w:t>
      </w:r>
      <w:r w:rsidR="00A17F03" w:rsidRPr="00A3372A">
        <w:t>that non-achievement factors</w:t>
      </w:r>
      <w:r w:rsidR="00AB2CF6" w:rsidRPr="00A3372A">
        <w:t xml:space="preserve"> (e.g. attitude)</w:t>
      </w:r>
      <w:r w:rsidR="00A17F03" w:rsidRPr="00A3372A">
        <w:t xml:space="preserve"> </w:t>
      </w:r>
      <w:r w:rsidR="006E19A0" w:rsidRPr="00A3372A">
        <w:t>should</w:t>
      </w:r>
      <w:r w:rsidR="00A17F03" w:rsidRPr="00A3372A">
        <w:t xml:space="preserve"> not be includ</w:t>
      </w:r>
      <w:r w:rsidR="00386420" w:rsidRPr="00A3372A">
        <w:t>ed</w:t>
      </w:r>
      <w:r w:rsidR="00A17F03" w:rsidRPr="00A3372A">
        <w:t xml:space="preserve"> when </w:t>
      </w:r>
      <w:r w:rsidR="00386420" w:rsidRPr="00A3372A">
        <w:t xml:space="preserve">constructing </w:t>
      </w:r>
      <w:r w:rsidR="00A17F03" w:rsidRPr="00A3372A">
        <w:t>grades. “Non-academic factors such as attendance, punctuality, attitude, effort,</w:t>
      </w:r>
      <w:r w:rsidR="00E223BA" w:rsidRPr="00A3372A">
        <w:rPr>
          <w:rFonts w:eastAsia="MS Mincho"/>
        </w:rPr>
        <w:t xml:space="preserve"> </w:t>
      </w:r>
      <w:r w:rsidR="00A17F03" w:rsidRPr="00A3372A">
        <w:t xml:space="preserve">and </w:t>
      </w:r>
      <w:proofErr w:type="spellStart"/>
      <w:r w:rsidR="00A17F03" w:rsidRPr="00A3372A">
        <w:t>behaviour</w:t>
      </w:r>
      <w:proofErr w:type="spellEnd"/>
      <w:r w:rsidR="00A17F03" w:rsidRPr="00A3372A">
        <w:t xml:space="preserve"> are not included in the determination of students’ grades. However, it is understood that these factors affect student achievement and, therefore, could be addressed in teacher comments in the context of next s</w:t>
      </w:r>
      <w:r w:rsidR="00585585" w:rsidRPr="00A3372A">
        <w:t>teps that will enhance learning</w:t>
      </w:r>
      <w:r w:rsidR="00A17F03" w:rsidRPr="00A3372A">
        <w:t>”</w:t>
      </w:r>
      <w:r w:rsidR="00585585" w:rsidRPr="00A3372A">
        <w:t xml:space="preserve"> (MB</w:t>
      </w:r>
      <w:r w:rsidR="00666E51" w:rsidRPr="00A3372A">
        <w:t xml:space="preserve">2, </w:t>
      </w:r>
      <w:r w:rsidR="00C07210" w:rsidRPr="00A3372A">
        <w:t>Manitoba Education and Advanced Learning,</w:t>
      </w:r>
      <w:r w:rsidR="00CB2780" w:rsidRPr="00A3372A">
        <w:t xml:space="preserve"> p. 6,</w:t>
      </w:r>
      <w:r w:rsidR="00666E51" w:rsidRPr="00A3372A">
        <w:t xml:space="preserve"> 2015</w:t>
      </w:r>
      <w:r w:rsidR="00CB2780" w:rsidRPr="00A3372A">
        <w:t>). ON</w:t>
      </w:r>
      <w:r w:rsidR="00A17F03" w:rsidRPr="00A3372A">
        <w:t xml:space="preserve">, </w:t>
      </w:r>
      <w:r w:rsidR="004206B8" w:rsidRPr="00A3372A">
        <w:t>Newfoundland and Labrador</w:t>
      </w:r>
      <w:r w:rsidR="00A17F03" w:rsidRPr="00A3372A">
        <w:t xml:space="preserve">, </w:t>
      </w:r>
      <w:r w:rsidR="00CB2780" w:rsidRPr="00A3372A">
        <w:t>NS</w:t>
      </w:r>
      <w:r w:rsidR="00386420" w:rsidRPr="00A3372A">
        <w:t>,</w:t>
      </w:r>
      <w:r w:rsidR="00A17F03" w:rsidRPr="00A3372A">
        <w:t xml:space="preserve"> and the </w:t>
      </w:r>
      <w:r w:rsidR="00CB2780" w:rsidRPr="00A3372A">
        <w:t>YT</w:t>
      </w:r>
      <w:r w:rsidR="00A17F03" w:rsidRPr="00A3372A">
        <w:t xml:space="preserve"> </w:t>
      </w:r>
      <w:r w:rsidR="004B335E" w:rsidRPr="00A3372A">
        <w:t>also explici</w:t>
      </w:r>
      <w:r w:rsidR="00386420" w:rsidRPr="00A3372A">
        <w:t>tly outline</w:t>
      </w:r>
      <w:r w:rsidR="001D72A6" w:rsidRPr="00A3372A">
        <w:t>d</w:t>
      </w:r>
      <w:r w:rsidR="00A17F03" w:rsidRPr="00A3372A">
        <w:t xml:space="preserve"> </w:t>
      </w:r>
      <w:r w:rsidR="004B335E" w:rsidRPr="00A3372A">
        <w:t>that only</w:t>
      </w:r>
      <w:r w:rsidR="00A17F03" w:rsidRPr="00A3372A">
        <w:t xml:space="preserve"> achievement factors</w:t>
      </w:r>
      <w:r w:rsidR="004B335E" w:rsidRPr="00A3372A">
        <w:t xml:space="preserve"> should be included</w:t>
      </w:r>
      <w:r w:rsidR="00A17F03" w:rsidRPr="00A3372A">
        <w:t xml:space="preserve"> when assigning grades. </w:t>
      </w:r>
    </w:p>
    <w:p w14:paraId="3D52AB35" w14:textId="03BF9F27" w:rsidR="00A17F03" w:rsidRDefault="00A17F03" w:rsidP="00801D8B">
      <w:pPr>
        <w:spacing w:line="480" w:lineRule="auto"/>
        <w:ind w:left="-57" w:firstLine="720"/>
        <w:contextualSpacing/>
      </w:pPr>
      <w:r w:rsidRPr="00A3372A">
        <w:tab/>
        <w:t>Many provinces and territories across Canada mention</w:t>
      </w:r>
      <w:r w:rsidR="001D72A6" w:rsidRPr="00A3372A">
        <w:t>ed</w:t>
      </w:r>
      <w:r w:rsidRPr="00A3372A">
        <w:t xml:space="preserve"> how </w:t>
      </w:r>
      <w:r w:rsidR="006E19A0" w:rsidRPr="00A3372A">
        <w:t>assigning</w:t>
      </w:r>
      <w:r w:rsidRPr="00A3372A">
        <w:t xml:space="preserve"> grades </w:t>
      </w:r>
      <w:r w:rsidR="001D72A6" w:rsidRPr="00A3372A">
        <w:t>also included</w:t>
      </w:r>
      <w:r w:rsidRPr="00A3372A">
        <w:t xml:space="preserve"> professional judgment </w:t>
      </w:r>
      <w:r w:rsidR="006E19A0" w:rsidRPr="00A3372A">
        <w:t>and</w:t>
      </w:r>
      <w:r w:rsidRPr="00A3372A">
        <w:t xml:space="preserve"> interpretation</w:t>
      </w:r>
      <w:r w:rsidR="006E19A0" w:rsidRPr="00A3372A">
        <w:t>s</w:t>
      </w:r>
      <w:r w:rsidRPr="00A3372A">
        <w:t xml:space="preserve"> made by teachers. </w:t>
      </w:r>
      <w:r w:rsidR="00A03A6F" w:rsidRPr="00A3372A">
        <w:t>QC</w:t>
      </w:r>
      <w:r w:rsidR="00F62BC5" w:rsidRPr="00A3372A">
        <w:t xml:space="preserve"> </w:t>
      </w:r>
      <w:r w:rsidR="001D72A6" w:rsidRPr="00A3372A">
        <w:t>highlighted</w:t>
      </w:r>
      <w:r w:rsidRPr="00A3372A">
        <w:t xml:space="preserve"> the use of </w:t>
      </w:r>
      <w:r w:rsidRPr="00A3372A">
        <w:lastRenderedPageBreak/>
        <w:t>judgment during the evaluation process</w:t>
      </w:r>
      <w:r w:rsidR="006E19A0" w:rsidRPr="00A3372A">
        <w:t>:</w:t>
      </w:r>
      <w:r w:rsidRPr="00A3372A">
        <w:t xml:space="preserve"> “evaluation is a complex process that is largely based on the teacher’s professional judgment. Consequently, the exercise of this judgment must be based on guidelines to maintain the credibility of evaluation activities</w:t>
      </w:r>
      <w:r w:rsidRPr="00A3372A">
        <w:rPr>
          <w:i/>
        </w:rPr>
        <w:t>”</w:t>
      </w:r>
      <w:r w:rsidR="002D5327" w:rsidRPr="00A3372A">
        <w:t xml:space="preserve"> (QC1, MEQ, </w:t>
      </w:r>
      <w:r w:rsidR="00E86BA1" w:rsidRPr="00A3372A">
        <w:t>2003, p. 4).</w:t>
      </w:r>
      <w:r w:rsidRPr="00525D61">
        <w:t xml:space="preserve"> </w:t>
      </w:r>
      <w:r w:rsidR="00964B07">
        <w:t>A</w:t>
      </w:r>
      <w:r w:rsidRPr="00525D61">
        <w:t>ll Canadian provinces and territories emphasize</w:t>
      </w:r>
      <w:r w:rsidR="001D72A6">
        <w:t>d</w:t>
      </w:r>
      <w:r w:rsidRPr="00525D61">
        <w:t xml:space="preserve"> the need to have fair, equitable, and just </w:t>
      </w:r>
      <w:r w:rsidR="001D72A6">
        <w:t>grading practices which included</w:t>
      </w:r>
      <w:r w:rsidRPr="00525D61">
        <w:t xml:space="preserve"> not only the assignment of grades but also the reporting and use of student grades. </w:t>
      </w:r>
    </w:p>
    <w:p w14:paraId="761A80D9" w14:textId="539591F3" w:rsidR="000725DD" w:rsidRPr="00F62BC5" w:rsidRDefault="008233AF" w:rsidP="00801D8B">
      <w:pPr>
        <w:spacing w:line="480" w:lineRule="auto"/>
        <w:ind w:firstLine="851"/>
      </w:pPr>
      <w:r>
        <w:t>The SK document suggested</w:t>
      </w:r>
      <w:r w:rsidR="00C51EAF" w:rsidRPr="00F62BC5">
        <w:t xml:space="preserve"> that “evaluation should be an integral part of the teaching-learning process, . </w:t>
      </w:r>
      <w:r w:rsidR="00C51EAF" w:rsidRPr="00A3372A">
        <w:t>. . be a planned, continuous activity . . . [that] reflect[s] the intended outcomes of the curriculum” (</w:t>
      </w:r>
      <w:r w:rsidR="002D451D" w:rsidRPr="00A3372A">
        <w:t>SK1, Department of Education</w:t>
      </w:r>
      <w:r w:rsidR="00C51EAF" w:rsidRPr="00A3372A">
        <w:t>, 1991, p</w:t>
      </w:r>
      <w:r w:rsidR="00071966" w:rsidRPr="00A3372A">
        <w:t xml:space="preserve"> 4</w:t>
      </w:r>
      <w:r w:rsidR="00C51EAF" w:rsidRPr="00A3372A">
        <w:t>).</w:t>
      </w:r>
      <w:r w:rsidR="009C7CB0" w:rsidRPr="00A3372A">
        <w:t xml:space="preserve"> The BC document supported</w:t>
      </w:r>
      <w:r w:rsidR="00C51EAF" w:rsidRPr="00A3372A">
        <w:t xml:space="preserve"> this assertion by indicating that, “assessment should be continuous, collaborative, consultative and based on an agreed set of criteria (BC</w:t>
      </w:r>
      <w:r w:rsidR="00612CBF" w:rsidRPr="00A3372A">
        <w:t>1</w:t>
      </w:r>
      <w:r w:rsidR="00C51EAF" w:rsidRPr="00A3372A">
        <w:t>,</w:t>
      </w:r>
      <w:r w:rsidR="0029048D" w:rsidRPr="00A3372A">
        <w:t xml:space="preserve"> MOE,</w:t>
      </w:r>
      <w:r w:rsidR="00C51EAF" w:rsidRPr="00A3372A">
        <w:t xml:space="preserve"> 2009, p. 21). Some provinces (</w:t>
      </w:r>
      <w:r w:rsidR="00F62BC5" w:rsidRPr="00A3372A">
        <w:t>i.e</w:t>
      </w:r>
      <w:r w:rsidR="00C51EAF" w:rsidRPr="00A3372A">
        <w:t>.</w:t>
      </w:r>
      <w:r w:rsidR="00F62BC5" w:rsidRPr="00A3372A">
        <w:t>,</w:t>
      </w:r>
      <w:r w:rsidR="0029048D" w:rsidRPr="00A3372A">
        <w:t xml:space="preserve"> ON, NF</w:t>
      </w:r>
      <w:r w:rsidR="00827243">
        <w:t>L</w:t>
      </w:r>
      <w:r w:rsidR="00C51EAF" w:rsidRPr="00A3372A">
        <w:t xml:space="preserve">, </w:t>
      </w:r>
      <w:r w:rsidR="00354727" w:rsidRPr="00A3372A">
        <w:t>YT</w:t>
      </w:r>
      <w:r w:rsidR="00C51EAF" w:rsidRPr="00A3372A">
        <w:t>, MB, NB) specified that grading should only occur “at or near the end of a period of learning” (ON</w:t>
      </w:r>
      <w:r w:rsidR="0029048D" w:rsidRPr="00A3372A">
        <w:t>1, MOE</w:t>
      </w:r>
      <w:r w:rsidR="00C51EAF" w:rsidRPr="00A3372A">
        <w:t>,</w:t>
      </w:r>
      <w:r w:rsidR="0029048D" w:rsidRPr="00A3372A">
        <w:t xml:space="preserve"> 2010, p.</w:t>
      </w:r>
      <w:r w:rsidR="00535307" w:rsidRPr="00A3372A">
        <w:t xml:space="preserve"> 31</w:t>
      </w:r>
      <w:r w:rsidR="00C51EAF" w:rsidRPr="00A3372A">
        <w:t xml:space="preserve">), “at the end of a significant period of learning” </w:t>
      </w:r>
      <w:r w:rsidR="005B5D1B" w:rsidRPr="00A3372A">
        <w:t>(NL</w:t>
      </w:r>
      <w:r w:rsidR="00535307" w:rsidRPr="00A3372A">
        <w:t>1</w:t>
      </w:r>
      <w:r w:rsidR="00C51EAF" w:rsidRPr="00A3372A">
        <w:t>,</w:t>
      </w:r>
      <w:r w:rsidR="006A1EA0" w:rsidRPr="00A3372A">
        <w:t xml:space="preserve"> Department of Education, 2013, p.</w:t>
      </w:r>
      <w:r w:rsidR="004E74E9" w:rsidRPr="00A3372A">
        <w:t xml:space="preserve"> 2</w:t>
      </w:r>
      <w:r w:rsidR="00C51EAF" w:rsidRPr="00A3372A">
        <w:t>), or on “achievement to date” (MB</w:t>
      </w:r>
      <w:r w:rsidR="004E74E9" w:rsidRPr="00A3372A">
        <w:t>1, Department of Manitoba Educati</w:t>
      </w:r>
      <w:r w:rsidR="004E74E9" w:rsidRPr="00300882">
        <w:t>on, Citizenship and Youth</w:t>
      </w:r>
      <w:r w:rsidR="00FD4A54" w:rsidRPr="00300882">
        <w:t>, 2008</w:t>
      </w:r>
      <w:r w:rsidR="00C51EAF" w:rsidRPr="00300882">
        <w:t>, p</w:t>
      </w:r>
      <w:r w:rsidR="00FD4A54" w:rsidRPr="00300882">
        <w:t xml:space="preserve"> 1</w:t>
      </w:r>
      <w:r w:rsidR="00C51EAF" w:rsidRPr="00300882">
        <w:t>).</w:t>
      </w:r>
      <w:r w:rsidR="004247C9" w:rsidRPr="00300882">
        <w:t xml:space="preserve"> Overall, it seems that the policy documents were consistent in </w:t>
      </w:r>
      <w:r w:rsidR="00300882" w:rsidRPr="00300882">
        <w:t>their approach to grading with achievement and non-achiev</w:t>
      </w:r>
      <w:r w:rsidR="00105275">
        <w:t>e</w:t>
      </w:r>
      <w:r w:rsidR="00300882" w:rsidRPr="00300882">
        <w:t>ment factors reported separately.</w:t>
      </w:r>
      <w:r w:rsidR="00234AD1">
        <w:t xml:space="preserve"> </w:t>
      </w:r>
    </w:p>
    <w:p w14:paraId="69313756" w14:textId="2024C62C" w:rsidR="00C51EAF" w:rsidRPr="00C51EAF" w:rsidRDefault="00C51EAF" w:rsidP="00801D8B">
      <w:pPr>
        <w:spacing w:line="480" w:lineRule="auto"/>
        <w:contextualSpacing/>
        <w:outlineLvl w:val="0"/>
        <w:rPr>
          <w:b/>
          <w:i/>
        </w:rPr>
      </w:pPr>
      <w:r w:rsidRPr="00B851C4">
        <w:rPr>
          <w:b/>
          <w:i/>
        </w:rPr>
        <w:t>Large-scale</w:t>
      </w:r>
      <w:r>
        <w:rPr>
          <w:b/>
          <w:i/>
        </w:rPr>
        <w:t xml:space="preserve"> Assessments</w:t>
      </w:r>
    </w:p>
    <w:p w14:paraId="277EE7A0" w14:textId="6931F0CC" w:rsidR="00A17F03" w:rsidRPr="00525D61" w:rsidRDefault="00A17F03" w:rsidP="00801D8B">
      <w:pPr>
        <w:spacing w:line="480" w:lineRule="auto"/>
        <w:ind w:left="-57" w:firstLine="720"/>
        <w:contextualSpacing/>
      </w:pPr>
      <w:r w:rsidRPr="00525D61">
        <w:tab/>
      </w:r>
      <w:r w:rsidRPr="00B851C4">
        <w:t>Large</w:t>
      </w:r>
      <w:r w:rsidR="004E74E9" w:rsidRPr="00B851C4">
        <w:t>-</w:t>
      </w:r>
      <w:r w:rsidRPr="00B851C4">
        <w:t>scale</w:t>
      </w:r>
      <w:r w:rsidRPr="00525D61">
        <w:t xml:space="preserve"> assessments </w:t>
      </w:r>
      <w:r w:rsidR="009C7CB0">
        <w:t>were</w:t>
      </w:r>
      <w:r w:rsidRPr="00525D61">
        <w:t xml:space="preserve"> frequently used across Canada </w:t>
      </w:r>
      <w:r w:rsidR="00512B66">
        <w:t xml:space="preserve">in </w:t>
      </w:r>
      <w:r w:rsidR="00105275">
        <w:t xml:space="preserve">both </w:t>
      </w:r>
      <w:r w:rsidR="00512B66">
        <w:t>elementary and secondary education</w:t>
      </w:r>
      <w:r w:rsidR="005B1B72">
        <w:t>; h</w:t>
      </w:r>
      <w:r w:rsidRPr="00525D61">
        <w:t>owever, the extent to which they contribute</w:t>
      </w:r>
      <w:r w:rsidR="009C7CB0">
        <w:t>d</w:t>
      </w:r>
      <w:r w:rsidRPr="00525D61">
        <w:t xml:space="preserve"> to students’ final </w:t>
      </w:r>
      <w:r w:rsidR="006E088E">
        <w:t xml:space="preserve">grade </w:t>
      </w:r>
      <w:r w:rsidRPr="00525D61">
        <w:t>varies. The provincial assessments and examinations administered across Canada range</w:t>
      </w:r>
      <w:r w:rsidR="00B86964">
        <w:t>d</w:t>
      </w:r>
      <w:r w:rsidRPr="00525D61">
        <w:t xml:space="preserve"> in contributions from 10%-50% of students’ course </w:t>
      </w:r>
      <w:r w:rsidR="006E088E">
        <w:t>grades</w:t>
      </w:r>
      <w:r w:rsidRPr="00525D61">
        <w:t>. A</w:t>
      </w:r>
      <w:r w:rsidR="00B851C4">
        <w:t>B</w:t>
      </w:r>
      <w:r w:rsidRPr="00525D61">
        <w:t xml:space="preserve"> administers the Diploma</w:t>
      </w:r>
      <w:r w:rsidR="00FB6E3A">
        <w:t xml:space="preserve"> E</w:t>
      </w:r>
      <w:r w:rsidR="00FB6E3A" w:rsidRPr="00525D61">
        <w:t>xaminations</w:t>
      </w:r>
      <w:r w:rsidRPr="00525D61">
        <w:t xml:space="preserve"> for </w:t>
      </w:r>
      <w:r w:rsidRPr="00A3372A">
        <w:t xml:space="preserve">specific courses in Grade 12 where 30% of students’ grades </w:t>
      </w:r>
      <w:r w:rsidR="00AC2EF3" w:rsidRPr="00A3372A">
        <w:t xml:space="preserve">are factored into final </w:t>
      </w:r>
      <w:r w:rsidR="006E088E">
        <w:t>grade</w:t>
      </w:r>
      <w:r w:rsidR="006E088E" w:rsidRPr="00A3372A">
        <w:t xml:space="preserve">s </w:t>
      </w:r>
      <w:r w:rsidR="00610199" w:rsidRPr="00A3372A">
        <w:t>(</w:t>
      </w:r>
      <w:r w:rsidR="00B851C4" w:rsidRPr="00A3372A">
        <w:t>AB1, Alberta</w:t>
      </w:r>
      <w:r w:rsidR="00610199" w:rsidRPr="00A3372A">
        <w:t xml:space="preserve"> Education, 2015</w:t>
      </w:r>
      <w:r w:rsidR="00B851C4" w:rsidRPr="00A3372A">
        <w:t>, p 105</w:t>
      </w:r>
      <w:r w:rsidR="00610199" w:rsidRPr="00A3372A">
        <w:t>)</w:t>
      </w:r>
      <w:r w:rsidRPr="00A3372A">
        <w:t xml:space="preserve">. </w:t>
      </w:r>
      <w:r w:rsidR="00AC2EF3" w:rsidRPr="00A3372A">
        <w:t>BC</w:t>
      </w:r>
      <w:r w:rsidRPr="00A3372A">
        <w:t xml:space="preserve"> administers Graduation Program </w:t>
      </w:r>
      <w:r w:rsidRPr="00A3372A">
        <w:lastRenderedPageBreak/>
        <w:t>Exam</w:t>
      </w:r>
      <w:r w:rsidR="0097099C">
        <w:t>ination</w:t>
      </w:r>
      <w:r w:rsidRPr="00A3372A">
        <w:t>s for Language Arts in Grades 10 and 12, Science and Mathematics in Grade 10, and Social Studies in Grades 11 and 12. Grades 10 and 11</w:t>
      </w:r>
      <w:r w:rsidR="00AC2EF3" w:rsidRPr="00A3372A">
        <w:t xml:space="preserve"> exam</w:t>
      </w:r>
      <w:r w:rsidR="0097099C">
        <w:t>ination</w:t>
      </w:r>
      <w:r w:rsidR="00AC2EF3" w:rsidRPr="00A3372A">
        <w:t>s</w:t>
      </w:r>
      <w:r w:rsidRPr="00A3372A">
        <w:t xml:space="preserve"> account for 20% of students’ final </w:t>
      </w:r>
      <w:r w:rsidR="006E088E">
        <w:t>grade</w:t>
      </w:r>
      <w:r w:rsidRPr="00A3372A">
        <w:t xml:space="preserve">s whereas those written at the Grade 12 level </w:t>
      </w:r>
      <w:r w:rsidR="00703358" w:rsidRPr="00A3372A">
        <w:t xml:space="preserve">count </w:t>
      </w:r>
      <w:r w:rsidRPr="00A3372A">
        <w:t xml:space="preserve">for 40% of students’ </w:t>
      </w:r>
      <w:r w:rsidR="006E088E">
        <w:t>grade</w:t>
      </w:r>
      <w:r w:rsidRPr="00A3372A">
        <w:t>s</w:t>
      </w:r>
      <w:r w:rsidR="00610199" w:rsidRPr="00A3372A">
        <w:t xml:space="preserve"> (</w:t>
      </w:r>
      <w:r w:rsidR="000D3EE2" w:rsidRPr="00A3372A">
        <w:t xml:space="preserve">BC2, </w:t>
      </w:r>
      <w:r w:rsidR="0017644D" w:rsidRPr="00A3372A">
        <w:t xml:space="preserve">MOE, </w:t>
      </w:r>
      <w:r w:rsidR="00395649" w:rsidRPr="00A3372A">
        <w:t>2015</w:t>
      </w:r>
      <w:r w:rsidR="0017644D" w:rsidRPr="00A3372A">
        <w:t>, p. 10</w:t>
      </w:r>
      <w:r w:rsidR="00395649" w:rsidRPr="00A3372A">
        <w:t>)</w:t>
      </w:r>
      <w:r w:rsidRPr="00A3372A">
        <w:t>.</w:t>
      </w:r>
      <w:r w:rsidRPr="00525D61">
        <w:t xml:space="preserve"> </w:t>
      </w:r>
      <w:r w:rsidR="00C75580">
        <w:t>MB</w:t>
      </w:r>
      <w:r w:rsidRPr="00525D61">
        <w:t xml:space="preserve"> administers Grade 12 provincial tests in Language Arts and Mathematics contributing between 20-30% of students’ final course </w:t>
      </w:r>
      <w:r w:rsidR="006E088E">
        <w:t>grade</w:t>
      </w:r>
      <w:r w:rsidRPr="00525D61">
        <w:t>s</w:t>
      </w:r>
      <w:r w:rsidR="00D844C2">
        <w:t xml:space="preserve"> </w:t>
      </w:r>
      <w:r w:rsidR="00D844C2" w:rsidRPr="005E2BDD">
        <w:t>(</w:t>
      </w:r>
      <w:r w:rsidR="00772C55" w:rsidRPr="005E2BDD">
        <w:t>MB</w:t>
      </w:r>
      <w:r w:rsidR="0017644D" w:rsidRPr="005E2BDD">
        <w:t>,</w:t>
      </w:r>
      <w:r w:rsidR="00772C55" w:rsidRPr="005E2BDD">
        <w:t xml:space="preserve"> MOE, 2016)</w:t>
      </w:r>
      <w:r w:rsidRPr="005E2BDD">
        <w:t>.</w:t>
      </w:r>
      <w:r w:rsidRPr="00525D61">
        <w:t xml:space="preserve"> </w:t>
      </w:r>
      <w:r w:rsidR="00C75580">
        <w:t>SK</w:t>
      </w:r>
      <w:r w:rsidRPr="00525D61">
        <w:t xml:space="preserve"> administers Diploma Examinations in Grade 12 for core subjects and 50% contribute</w:t>
      </w:r>
      <w:r w:rsidR="00C11245">
        <w:t>s</w:t>
      </w:r>
      <w:r w:rsidRPr="00525D61">
        <w:t xml:space="preserve"> to final course </w:t>
      </w:r>
      <w:r w:rsidR="006E088E">
        <w:t>grades</w:t>
      </w:r>
      <w:r w:rsidR="00395649">
        <w:t xml:space="preserve"> (</w:t>
      </w:r>
      <w:r w:rsidR="00A53138">
        <w:t>SK</w:t>
      </w:r>
      <w:r w:rsidR="00C75580">
        <w:t>,</w:t>
      </w:r>
      <w:r w:rsidR="00A53138">
        <w:t xml:space="preserve"> MOE, 2016)</w:t>
      </w:r>
      <w:r w:rsidRPr="00525D61">
        <w:t xml:space="preserve">. The </w:t>
      </w:r>
      <w:r w:rsidR="00C75580">
        <w:t>YT</w:t>
      </w:r>
      <w:r w:rsidRPr="00525D61">
        <w:t xml:space="preserve"> uses the standards tests from </w:t>
      </w:r>
      <w:r w:rsidR="00C75580">
        <w:t xml:space="preserve">BC </w:t>
      </w:r>
      <w:r w:rsidRPr="00525D61">
        <w:t xml:space="preserve">whereas the </w:t>
      </w:r>
      <w:r w:rsidR="00C75580">
        <w:t>N</w:t>
      </w:r>
      <w:r w:rsidR="00827243">
        <w:t>W</w:t>
      </w:r>
      <w:r w:rsidR="00C75580">
        <w:t>T</w:t>
      </w:r>
      <w:r w:rsidRPr="00525D61">
        <w:t xml:space="preserve"> and </w:t>
      </w:r>
      <w:r w:rsidR="00C75580">
        <w:t>NU</w:t>
      </w:r>
      <w:r w:rsidRPr="00525D61">
        <w:t xml:space="preserve"> use the A</w:t>
      </w:r>
      <w:r w:rsidR="00C75580">
        <w:t xml:space="preserve">B </w:t>
      </w:r>
      <w:r w:rsidRPr="00525D61">
        <w:t xml:space="preserve">Diploma Examinations with the exception that the examinations are worth 50% of students’ final course </w:t>
      </w:r>
      <w:r w:rsidR="006E088E">
        <w:t xml:space="preserve">grades </w:t>
      </w:r>
      <w:r w:rsidRPr="00525D61">
        <w:t xml:space="preserve">in </w:t>
      </w:r>
      <w:r w:rsidR="00C75580">
        <w:t>NU</w:t>
      </w:r>
      <w:r w:rsidRPr="00525D61">
        <w:t xml:space="preserve"> rather than 30% for the </w:t>
      </w:r>
      <w:r w:rsidR="00C75580">
        <w:t>N</w:t>
      </w:r>
      <w:r w:rsidR="00827243">
        <w:t>W</w:t>
      </w:r>
      <w:r w:rsidR="00C75580">
        <w:t>T</w:t>
      </w:r>
      <w:r w:rsidRPr="00525D61">
        <w:t xml:space="preserve"> and A</w:t>
      </w:r>
      <w:r w:rsidR="00C75580">
        <w:t>B</w:t>
      </w:r>
      <w:r w:rsidR="009448D5">
        <w:t>.</w:t>
      </w:r>
    </w:p>
    <w:p w14:paraId="3DD336FD" w14:textId="4BC09C21" w:rsidR="00C51EAF" w:rsidRPr="00CE1C2D" w:rsidRDefault="00C75580" w:rsidP="006E088E">
      <w:pPr>
        <w:spacing w:line="480" w:lineRule="auto"/>
        <w:ind w:left="-57" w:firstLine="777"/>
        <w:contextualSpacing/>
      </w:pPr>
      <w:r>
        <w:t>NB</w:t>
      </w:r>
      <w:r w:rsidR="00A17F03" w:rsidRPr="00525D61">
        <w:t xml:space="preserve"> has an extensiv</w:t>
      </w:r>
      <w:r w:rsidR="002F1308">
        <w:t>e provincial assessment program, i</w:t>
      </w:r>
      <w:r w:rsidR="00A17F03" w:rsidRPr="00525D61">
        <w:t>n the Francophone school boards</w:t>
      </w:r>
      <w:r w:rsidR="005B1B72">
        <w:t>,</w:t>
      </w:r>
      <w:r w:rsidR="00A17F03" w:rsidRPr="00525D61">
        <w:t xml:space="preserve"> students complete a Grade 11 French and Mathematics examination which contributes to 40% of students’ course </w:t>
      </w:r>
      <w:r w:rsidR="006E088E">
        <w:t>grades</w:t>
      </w:r>
      <w:r w:rsidR="00A17F03" w:rsidRPr="00525D61">
        <w:t xml:space="preserve">. </w:t>
      </w:r>
      <w:r w:rsidR="00CD3AC1">
        <w:t>NS</w:t>
      </w:r>
      <w:r w:rsidR="00A17F03" w:rsidRPr="00525D61">
        <w:t xml:space="preserve"> Examinations are administered in Grade 10 for both English and Mathematics which account for 20% of students’ final </w:t>
      </w:r>
      <w:r w:rsidR="006E088E">
        <w:t>grades</w:t>
      </w:r>
      <w:r w:rsidR="00E9029F">
        <w:t xml:space="preserve"> (NS, </w:t>
      </w:r>
      <w:r w:rsidR="0004542B">
        <w:t>Department of Education and Early Childhood Development, 2016)</w:t>
      </w:r>
      <w:r w:rsidR="00A17F03" w:rsidRPr="00525D61">
        <w:t xml:space="preserve">. </w:t>
      </w:r>
      <w:r w:rsidR="00CD3AC1">
        <w:t>NL</w:t>
      </w:r>
      <w:r w:rsidR="00A17F03" w:rsidRPr="00525D61">
        <w:t xml:space="preserve"> administer</w:t>
      </w:r>
      <w:r w:rsidR="00801E23">
        <w:t>s</w:t>
      </w:r>
      <w:r w:rsidR="00A17F03" w:rsidRPr="00525D61">
        <w:t xml:space="preserve"> examinations for senior high school core courses where the achieved grade accounts for 50% of students</w:t>
      </w:r>
      <w:r w:rsidR="00CD3AC1">
        <w:t xml:space="preserve">’ final </w:t>
      </w:r>
      <w:r w:rsidR="006E088E">
        <w:t>grades</w:t>
      </w:r>
      <w:r w:rsidR="00082FD4">
        <w:t xml:space="preserve"> (NL, Department of Education and Early Childhood Development, 2016)</w:t>
      </w:r>
      <w:r w:rsidR="00CD3AC1">
        <w:t xml:space="preserve">. Interestingly, QC </w:t>
      </w:r>
      <w:r w:rsidR="00A17F03" w:rsidRPr="00525D61">
        <w:t xml:space="preserve">administers certification examinations in Grades 10 and 11 for core subjects where the </w:t>
      </w:r>
      <w:r w:rsidR="006E088E">
        <w:t>grades</w:t>
      </w:r>
      <w:r w:rsidR="00A17F03" w:rsidRPr="00525D61">
        <w:t xml:space="preserve"> can account for up to 50% of students’ final course </w:t>
      </w:r>
      <w:r w:rsidR="006E088E">
        <w:t>grades</w:t>
      </w:r>
      <w:r w:rsidR="00C67BB9" w:rsidRPr="00A3372A">
        <w:t xml:space="preserve"> (QC</w:t>
      </w:r>
      <w:r w:rsidR="00D44077" w:rsidRPr="00A3372A">
        <w:t>3</w:t>
      </w:r>
      <w:r w:rsidR="00C67BB9" w:rsidRPr="00A3372A">
        <w:t xml:space="preserve">, </w:t>
      </w:r>
      <w:r w:rsidR="00D44077" w:rsidRPr="00A3372A">
        <w:t>MEQ, 2015)</w:t>
      </w:r>
      <w:r w:rsidR="00A17F03" w:rsidRPr="00A3372A">
        <w:t>. Results from</w:t>
      </w:r>
      <w:r w:rsidR="00A17F03" w:rsidRPr="00525D61">
        <w:t xml:space="preserve"> </w:t>
      </w:r>
      <w:r w:rsidR="004E74E9" w:rsidRPr="001D7667">
        <w:t>large-scale</w:t>
      </w:r>
      <w:r w:rsidR="00A17F03" w:rsidRPr="00525D61">
        <w:t xml:space="preserve"> assessments used for Grade 9 assessments in </w:t>
      </w:r>
      <w:r w:rsidR="00354727">
        <w:t>PE</w:t>
      </w:r>
      <w:r w:rsidR="00A17F03" w:rsidRPr="00525D61">
        <w:t xml:space="preserve"> where 10% contributes to the final course </w:t>
      </w:r>
      <w:r w:rsidR="006E088E">
        <w:t>grades</w:t>
      </w:r>
      <w:r w:rsidR="000135AE">
        <w:t xml:space="preserve"> and for Grade 11 where between 20-25% </w:t>
      </w:r>
      <w:r w:rsidR="001860DA">
        <w:t xml:space="preserve">contributes to the final course </w:t>
      </w:r>
      <w:r w:rsidR="006E088E">
        <w:t>grades</w:t>
      </w:r>
      <w:r w:rsidR="001860DA">
        <w:t>. The amount varies according to the math</w:t>
      </w:r>
      <w:r w:rsidR="004C3537">
        <w:t>ematics</w:t>
      </w:r>
      <w:r w:rsidR="001860DA">
        <w:t xml:space="preserve"> course (PE, Education, Early L</w:t>
      </w:r>
      <w:r w:rsidR="001860DA" w:rsidRPr="00CE1C2D">
        <w:t>earning and Culture, 2016)</w:t>
      </w:r>
      <w:r w:rsidR="00A17F03" w:rsidRPr="00CE1C2D">
        <w:t>.</w:t>
      </w:r>
      <w:r w:rsidR="001860DA" w:rsidRPr="00CE1C2D">
        <w:t xml:space="preserve"> </w:t>
      </w:r>
      <w:r w:rsidR="00A17F03" w:rsidRPr="00CE1C2D">
        <w:t xml:space="preserve">Lastly, </w:t>
      </w:r>
      <w:r w:rsidR="00CD3AC1" w:rsidRPr="00CE1C2D">
        <w:t>ON</w:t>
      </w:r>
      <w:r w:rsidR="00A17F03" w:rsidRPr="00CE1C2D">
        <w:t xml:space="preserve"> mandates that students’ results from the Grade 9 Numeracy Assessment can </w:t>
      </w:r>
      <w:r w:rsidR="00CE1C2D" w:rsidRPr="00CE1C2D">
        <w:rPr>
          <w:rFonts w:eastAsia="Times New Roman"/>
        </w:rPr>
        <w:t xml:space="preserve">count </w:t>
      </w:r>
      <w:r w:rsidR="00CE1C2D" w:rsidRPr="00CE1C2D">
        <w:rPr>
          <w:rStyle w:val="highlight"/>
          <w:rFonts w:eastAsia="Times New Roman"/>
        </w:rPr>
        <w:t>for</w:t>
      </w:r>
      <w:r w:rsidR="00CE1C2D" w:rsidRPr="00CE1C2D">
        <w:rPr>
          <w:rFonts w:eastAsia="Times New Roman"/>
        </w:rPr>
        <w:t xml:space="preserve"> </w:t>
      </w:r>
      <w:r w:rsidR="00CE1C2D" w:rsidRPr="00CE1C2D">
        <w:rPr>
          <w:rStyle w:val="highlight"/>
          <w:rFonts w:eastAsia="Times New Roman"/>
        </w:rPr>
        <w:t>up</w:t>
      </w:r>
      <w:r w:rsidR="00CE1C2D" w:rsidRPr="00CE1C2D">
        <w:rPr>
          <w:rFonts w:eastAsia="Times New Roman"/>
        </w:rPr>
        <w:t xml:space="preserve"> </w:t>
      </w:r>
      <w:r w:rsidR="00CE1C2D" w:rsidRPr="00CE1C2D">
        <w:rPr>
          <w:rStyle w:val="highlight"/>
          <w:rFonts w:eastAsia="Times New Roman"/>
        </w:rPr>
        <w:t>to</w:t>
      </w:r>
      <w:r w:rsidR="00CE1C2D" w:rsidRPr="00CE1C2D">
        <w:rPr>
          <w:rFonts w:eastAsia="Times New Roman"/>
        </w:rPr>
        <w:t xml:space="preserve"> 30% </w:t>
      </w:r>
      <w:r w:rsidR="00CE1C2D" w:rsidRPr="00CE1C2D">
        <w:rPr>
          <w:rStyle w:val="highlight"/>
          <w:rFonts w:eastAsia="Times New Roman"/>
        </w:rPr>
        <w:t>of</w:t>
      </w:r>
      <w:r w:rsidR="00CE1C2D" w:rsidRPr="00CE1C2D">
        <w:rPr>
          <w:rFonts w:eastAsia="Times New Roman"/>
        </w:rPr>
        <w:t xml:space="preserve"> </w:t>
      </w:r>
      <w:r w:rsidR="00CE1C2D" w:rsidRPr="00CE1C2D">
        <w:rPr>
          <w:rStyle w:val="highlight"/>
          <w:rFonts w:eastAsia="Times New Roman"/>
        </w:rPr>
        <w:lastRenderedPageBreak/>
        <w:t>students’</w:t>
      </w:r>
      <w:r w:rsidR="00CE1C2D" w:rsidRPr="00CE1C2D">
        <w:rPr>
          <w:rFonts w:eastAsia="Times New Roman"/>
        </w:rPr>
        <w:t xml:space="preserve"> </w:t>
      </w:r>
      <w:r w:rsidR="00CE1C2D" w:rsidRPr="00CE1C2D">
        <w:rPr>
          <w:rStyle w:val="highlight"/>
          <w:rFonts w:eastAsia="Times New Roman"/>
        </w:rPr>
        <w:t>final</w:t>
      </w:r>
      <w:r w:rsidR="00CE1C2D" w:rsidRPr="00CE1C2D">
        <w:rPr>
          <w:rFonts w:eastAsia="Times New Roman"/>
        </w:rPr>
        <w:t xml:space="preserve"> </w:t>
      </w:r>
      <w:r w:rsidR="00CE1C2D" w:rsidRPr="00CE1C2D">
        <w:rPr>
          <w:rStyle w:val="highlight"/>
          <w:rFonts w:eastAsia="Times New Roman"/>
        </w:rPr>
        <w:t>course</w:t>
      </w:r>
      <w:r w:rsidR="00CE1C2D" w:rsidRPr="00CE1C2D">
        <w:rPr>
          <w:rFonts w:eastAsia="Times New Roman"/>
        </w:rPr>
        <w:t xml:space="preserve"> </w:t>
      </w:r>
      <w:r w:rsidR="006E088E">
        <w:t>grade</w:t>
      </w:r>
      <w:r w:rsidR="00CE1C2D" w:rsidRPr="00CE1C2D">
        <w:rPr>
          <w:rFonts w:eastAsia="Times New Roman"/>
        </w:rPr>
        <w:t xml:space="preserve">. Schools and/or school boards have the discretion to decide whether </w:t>
      </w:r>
      <w:r w:rsidR="00CE1C2D" w:rsidRPr="00CE1C2D">
        <w:rPr>
          <w:rStyle w:val="highlight"/>
          <w:rFonts w:eastAsia="Times New Roman"/>
        </w:rPr>
        <w:t>to</w:t>
      </w:r>
      <w:r w:rsidR="00CE1C2D" w:rsidRPr="00CE1C2D">
        <w:rPr>
          <w:rFonts w:eastAsia="Times New Roman"/>
        </w:rPr>
        <w:t xml:space="preserve"> count the provincial Grade 9 </w:t>
      </w:r>
      <w:r w:rsidR="00CE1C2D" w:rsidRPr="00CE1C2D">
        <w:rPr>
          <w:rStyle w:val="highlight"/>
          <w:rFonts w:eastAsia="Times New Roman"/>
        </w:rPr>
        <w:t>assessment</w:t>
      </w:r>
      <w:r w:rsidR="00CE1C2D" w:rsidRPr="00CE1C2D">
        <w:rPr>
          <w:rFonts w:eastAsia="Times New Roman"/>
        </w:rPr>
        <w:t xml:space="preserve"> in course grades</w:t>
      </w:r>
      <w:r w:rsidR="00A17F03" w:rsidRPr="00CE1C2D">
        <w:t xml:space="preserve">. </w:t>
      </w:r>
    </w:p>
    <w:p w14:paraId="480F2221" w14:textId="079D3438" w:rsidR="00C51EAF" w:rsidRPr="00CE1C2D" w:rsidRDefault="00C51EAF" w:rsidP="00801D8B">
      <w:pPr>
        <w:spacing w:line="480" w:lineRule="auto"/>
        <w:contextualSpacing/>
        <w:outlineLvl w:val="0"/>
        <w:rPr>
          <w:b/>
          <w:i/>
        </w:rPr>
      </w:pPr>
      <w:r w:rsidRPr="00CE1C2D">
        <w:rPr>
          <w:b/>
          <w:i/>
        </w:rPr>
        <w:t>Reporting Grades</w:t>
      </w:r>
    </w:p>
    <w:p w14:paraId="6BC2BA1E" w14:textId="66064144" w:rsidR="00CE1C2D" w:rsidRPr="00CE1C2D" w:rsidRDefault="00A17F03" w:rsidP="00801D8B">
      <w:pPr>
        <w:spacing w:line="480" w:lineRule="auto"/>
        <w:ind w:left="-57" w:firstLine="777"/>
        <w:contextualSpacing/>
      </w:pPr>
      <w:r w:rsidRPr="00CE1C2D">
        <w:t>Student achievement</w:t>
      </w:r>
      <w:r w:rsidR="0051078A" w:rsidRPr="00CE1C2D">
        <w:t xml:space="preserve"> </w:t>
      </w:r>
      <w:r w:rsidR="00D27D5B" w:rsidRPr="00CE1C2D">
        <w:t>was</w:t>
      </w:r>
      <w:r w:rsidRPr="00CE1C2D">
        <w:t xml:space="preserve"> also reported differently across Canada with some processes mandated by ministries of education in some areas </w:t>
      </w:r>
      <w:r w:rsidR="00CE1C2D" w:rsidRPr="00CE1C2D">
        <w:t>and school board discretion in others</w:t>
      </w:r>
      <w:r w:rsidRPr="00CE1C2D">
        <w:t xml:space="preserve">. In </w:t>
      </w:r>
      <w:r w:rsidR="001F3E07" w:rsidRPr="00CE1C2D">
        <w:t>BC</w:t>
      </w:r>
      <w:r w:rsidR="00C8561E" w:rsidRPr="00CE1C2D">
        <w:t xml:space="preserve"> </w:t>
      </w:r>
      <w:r w:rsidR="00963AFE" w:rsidRPr="00CE1C2D">
        <w:t>t</w:t>
      </w:r>
      <w:r w:rsidRPr="00CE1C2D">
        <w:t xml:space="preserve">here </w:t>
      </w:r>
      <w:r w:rsidR="00D27D5B" w:rsidRPr="00CE1C2D">
        <w:t>were</w:t>
      </w:r>
      <w:r w:rsidRPr="00CE1C2D">
        <w:t xml:space="preserve"> general guidelines for reporting student achievement. However, </w:t>
      </w:r>
      <w:r w:rsidR="00CE1C2D" w:rsidRPr="00CE1C2D">
        <w:t>school board policies provided</w:t>
      </w:r>
      <w:r w:rsidRPr="00CE1C2D">
        <w:t xml:space="preserve"> more specific guidelines about the timing o</w:t>
      </w:r>
      <w:r w:rsidR="00194BAA" w:rsidRPr="00CE1C2D">
        <w:t xml:space="preserve">f </w:t>
      </w:r>
      <w:r w:rsidRPr="00CE1C2D">
        <w:t xml:space="preserve">reporting and suggestions </w:t>
      </w:r>
      <w:r w:rsidR="00CE1C2D" w:rsidRPr="00CE1C2D">
        <w:t>for the structure of written comments</w:t>
      </w:r>
      <w:r w:rsidRPr="00CE1C2D">
        <w:t xml:space="preserve"> </w:t>
      </w:r>
      <w:r w:rsidR="004116B8" w:rsidRPr="00CE1C2D">
        <w:t>(</w:t>
      </w:r>
      <w:r w:rsidR="00DD7C21" w:rsidRPr="00CE1C2D">
        <w:t>BC1, MOE</w:t>
      </w:r>
      <w:r w:rsidR="004116B8" w:rsidRPr="00CE1C2D">
        <w:t xml:space="preserve">, 2009). </w:t>
      </w:r>
      <w:r w:rsidRPr="00CE1C2D">
        <w:t xml:space="preserve"> </w:t>
      </w:r>
      <w:r w:rsidR="00CE1C2D" w:rsidRPr="00CE1C2D">
        <w:t xml:space="preserve">Some provinces, like </w:t>
      </w:r>
      <w:r w:rsidR="00E2471D" w:rsidRPr="00CE1C2D">
        <w:t>AB</w:t>
      </w:r>
      <w:r w:rsidRPr="00CE1C2D">
        <w:t xml:space="preserve"> </w:t>
      </w:r>
      <w:r w:rsidR="00CE1C2D" w:rsidRPr="00CE1C2D">
        <w:t xml:space="preserve">and SK, </w:t>
      </w:r>
      <w:r w:rsidRPr="00CE1C2D">
        <w:t>do not restrict teachers to reporting student achievement through certain methods</w:t>
      </w:r>
      <w:r w:rsidR="00194BAA" w:rsidRPr="00CE1C2D">
        <w:t>; rather,</w:t>
      </w:r>
      <w:r w:rsidRPr="00CE1C2D">
        <w:t xml:space="preserve"> </w:t>
      </w:r>
      <w:r w:rsidR="00CE1C2D" w:rsidRPr="00CE1C2D">
        <w:t>reporting is at</w:t>
      </w:r>
      <w:r w:rsidRPr="00CE1C2D">
        <w:t xml:space="preserve"> the discretion of school boards</w:t>
      </w:r>
      <w:r w:rsidR="00BA72FE" w:rsidRPr="00CE1C2D">
        <w:t xml:space="preserve"> for Kindergarten through to Grade 9. Teachers are required to report on learning outcomes, student progress in each subject, and grade levels in relation to the provincial assessments for </w:t>
      </w:r>
      <w:r w:rsidR="005C087F" w:rsidRPr="00CE1C2D">
        <w:t>math and language</w:t>
      </w:r>
      <w:r w:rsidR="0098732F" w:rsidRPr="00CE1C2D">
        <w:t xml:space="preserve"> (</w:t>
      </w:r>
      <w:r w:rsidR="005559C3" w:rsidRPr="00CE1C2D">
        <w:t>Guide to Education, 2015)</w:t>
      </w:r>
      <w:r w:rsidRPr="00CE1C2D">
        <w:t xml:space="preserve">. Reporting student achievement in </w:t>
      </w:r>
      <w:r w:rsidR="00E2471D" w:rsidRPr="00CE1C2D">
        <w:t>MB</w:t>
      </w:r>
      <w:r w:rsidRPr="00CE1C2D">
        <w:t xml:space="preserve"> </w:t>
      </w:r>
      <w:r w:rsidR="00CE1C2D" w:rsidRPr="00CE1C2D">
        <w:t xml:space="preserve">and ON </w:t>
      </w:r>
      <w:r w:rsidR="00532BA3" w:rsidRPr="00CE1C2D">
        <w:t>was</w:t>
      </w:r>
      <w:r w:rsidRPr="00CE1C2D">
        <w:t xml:space="preserve"> more </w:t>
      </w:r>
      <w:r w:rsidR="00194BAA" w:rsidRPr="00CE1C2D">
        <w:t xml:space="preserve">prescriptive </w:t>
      </w:r>
      <w:r w:rsidRPr="00CE1C2D">
        <w:t>and outlined explicitly in the</w:t>
      </w:r>
      <w:r w:rsidR="00194BAA" w:rsidRPr="00CE1C2D">
        <w:t>ir</w:t>
      </w:r>
      <w:r w:rsidRPr="00CE1C2D">
        <w:t xml:space="preserve"> policy documents. Report cards </w:t>
      </w:r>
      <w:r w:rsidR="00532BA3" w:rsidRPr="00CE1C2D">
        <w:t>were</w:t>
      </w:r>
      <w:r w:rsidRPr="00CE1C2D">
        <w:t xml:space="preserve"> used for Grades 1-12 with affiliated templates and pr</w:t>
      </w:r>
      <w:r w:rsidR="00963AFE" w:rsidRPr="00CE1C2D">
        <w:t xml:space="preserve">ocesses outlined for teachers. </w:t>
      </w:r>
      <w:r w:rsidR="00CE1C2D" w:rsidRPr="00CE1C2D">
        <w:t>In MB, l</w:t>
      </w:r>
      <w:r w:rsidRPr="00CE1C2D">
        <w:t>ocal school jurisdictions regulate</w:t>
      </w:r>
      <w:r w:rsidR="00532BA3" w:rsidRPr="00CE1C2D">
        <w:t>d</w:t>
      </w:r>
      <w:r w:rsidRPr="00CE1C2D">
        <w:t xml:space="preserve"> the reporting of </w:t>
      </w:r>
      <w:r w:rsidR="00963AFE" w:rsidRPr="00CE1C2D">
        <w:t>grades</w:t>
      </w:r>
      <w:r w:rsidRPr="00CE1C2D">
        <w:t xml:space="preserve"> at the secondary leve</w:t>
      </w:r>
      <w:r w:rsidR="00194BAA" w:rsidRPr="00CE1C2D">
        <w:t>l</w:t>
      </w:r>
      <w:r w:rsidR="005559C3" w:rsidRPr="00CE1C2D">
        <w:t xml:space="preserve"> (</w:t>
      </w:r>
      <w:r w:rsidR="000A7B7A" w:rsidRPr="00CE1C2D">
        <w:t>MB1</w:t>
      </w:r>
      <w:r w:rsidR="00D4517E" w:rsidRPr="00CE1C2D">
        <w:t>,</w:t>
      </w:r>
      <w:r w:rsidR="0067610D" w:rsidRPr="00CE1C2D">
        <w:t xml:space="preserve"> Department of Manitoba Education, Citizenship and Youth,</w:t>
      </w:r>
      <w:r w:rsidR="00D4517E" w:rsidRPr="00CE1C2D">
        <w:t xml:space="preserve"> 2008; </w:t>
      </w:r>
      <w:r w:rsidR="00B87C54" w:rsidRPr="00CE1C2D">
        <w:t>MB2</w:t>
      </w:r>
      <w:r w:rsidR="00D50D86" w:rsidRPr="00CE1C2D">
        <w:t>,</w:t>
      </w:r>
      <w:r w:rsidR="0067610D" w:rsidRPr="00CE1C2D">
        <w:t xml:space="preserve"> </w:t>
      </w:r>
      <w:r w:rsidR="00C07210" w:rsidRPr="00CE1C2D">
        <w:t xml:space="preserve">Manitoba Education and Advanced Learning </w:t>
      </w:r>
      <w:r w:rsidR="008A5C12" w:rsidRPr="00CE1C2D">
        <w:t>2015)</w:t>
      </w:r>
      <w:r w:rsidRPr="00CE1C2D">
        <w:t>.</w:t>
      </w:r>
      <w:r w:rsidR="00CE1C2D" w:rsidRPr="00CE1C2D">
        <w:t xml:space="preserve"> In ON,</w:t>
      </w:r>
      <w:r w:rsidRPr="00CE1C2D">
        <w:t xml:space="preserve"> </w:t>
      </w:r>
      <w:r w:rsidR="00CE1C2D" w:rsidRPr="00CE1C2D">
        <w:t xml:space="preserve">report cards are circulated twice at the elementary level alongside a progress report whereas there are two formal reports circulated per semester at the secondary level in ON. Stringent guidelines and requirements were evident for constructing report cards and reporting student achievement (ON, MOE, 2010). </w:t>
      </w:r>
    </w:p>
    <w:p w14:paraId="4F9180A6" w14:textId="3BEF9F2C" w:rsidR="00A17F03" w:rsidRPr="00CE1C2D" w:rsidRDefault="00A17F03" w:rsidP="00801D8B">
      <w:pPr>
        <w:spacing w:line="480" w:lineRule="auto"/>
        <w:ind w:left="-57" w:firstLine="777"/>
        <w:contextualSpacing/>
      </w:pPr>
      <w:r w:rsidRPr="00CE1C2D">
        <w:t xml:space="preserve">There are three mandatory formal reports on student achievement at the elementary level and two mandatory per semester at the intermediate and senior grade levels for the </w:t>
      </w:r>
      <w:r w:rsidR="005719BE" w:rsidRPr="00CE1C2D">
        <w:t>YT</w:t>
      </w:r>
      <w:r w:rsidRPr="00CE1C2D">
        <w:t xml:space="preserve">. Teachers must also host parent-teacher conferences at least once a year as an additional way to report </w:t>
      </w:r>
      <w:r w:rsidRPr="00CE1C2D">
        <w:lastRenderedPageBreak/>
        <w:t xml:space="preserve">student achievement. </w:t>
      </w:r>
      <w:r w:rsidR="0030049A" w:rsidRPr="00CE1C2D">
        <w:t>(</w:t>
      </w:r>
      <w:r w:rsidR="005719BE" w:rsidRPr="00CE1C2D">
        <w:rPr>
          <w:lang w:val="en-CA"/>
        </w:rPr>
        <w:t>YT1</w:t>
      </w:r>
      <w:r w:rsidR="0046790A" w:rsidRPr="00CE1C2D">
        <w:rPr>
          <w:lang w:val="en-CA"/>
        </w:rPr>
        <w:t>, 2011)</w:t>
      </w:r>
      <w:r w:rsidRPr="00CE1C2D">
        <w:t>.</w:t>
      </w:r>
      <w:r w:rsidR="004E6947" w:rsidRPr="00CE1C2D">
        <w:t xml:space="preserve"> In N</w:t>
      </w:r>
      <w:r w:rsidR="00827243">
        <w:t>W</w:t>
      </w:r>
      <w:r w:rsidR="004E6947" w:rsidRPr="00CE1C2D">
        <w:t xml:space="preserve">T, </w:t>
      </w:r>
      <w:r w:rsidRPr="00CE1C2D">
        <w:t>the school boards outline the requirements and procedures</w:t>
      </w:r>
      <w:r w:rsidR="00D318F0" w:rsidRPr="00CE1C2D">
        <w:t xml:space="preserve"> (</w:t>
      </w:r>
      <w:r w:rsidR="007A7868" w:rsidRPr="00CE1C2D">
        <w:t xml:space="preserve">NT1, </w:t>
      </w:r>
      <w:r w:rsidR="00184032" w:rsidRPr="00CE1C2D">
        <w:rPr>
          <w:bCs/>
        </w:rPr>
        <w:t>2011)</w:t>
      </w:r>
      <w:r w:rsidRPr="00CE1C2D">
        <w:t xml:space="preserve">. </w:t>
      </w:r>
      <w:r w:rsidR="00026B3A" w:rsidRPr="00CE1C2D">
        <w:t>NU</w:t>
      </w:r>
      <w:r w:rsidR="00532BA3" w:rsidRPr="00CE1C2D">
        <w:t xml:space="preserve"> used</w:t>
      </w:r>
      <w:r w:rsidRPr="00CE1C2D">
        <w:t xml:space="preserve"> an online system called Maplewood Student Information System to maintain student grades and information</w:t>
      </w:r>
      <w:r w:rsidR="00194BAA" w:rsidRPr="00CE1C2D">
        <w:t>,</w:t>
      </w:r>
      <w:r w:rsidRPr="00CE1C2D">
        <w:t xml:space="preserve"> which actually generates report cards for students. Some local school boards have deviated slightly from th</w:t>
      </w:r>
      <w:r w:rsidR="00194BAA" w:rsidRPr="00CE1C2D">
        <w:t>is</w:t>
      </w:r>
      <w:r w:rsidRPr="00CE1C2D">
        <w:t xml:space="preserve"> simple grading system by adding plus</w:t>
      </w:r>
      <w:r w:rsidR="00194BAA" w:rsidRPr="00CE1C2D">
        <w:t>es</w:t>
      </w:r>
      <w:r w:rsidRPr="00CE1C2D">
        <w:t xml:space="preserve"> and minus</w:t>
      </w:r>
      <w:r w:rsidR="00194BAA" w:rsidRPr="00CE1C2D">
        <w:t>es</w:t>
      </w:r>
      <w:r w:rsidRPr="00CE1C2D">
        <w:t xml:space="preserve"> at the elementary level</w:t>
      </w:r>
      <w:r w:rsidR="00194BAA" w:rsidRPr="00CE1C2D">
        <w:t xml:space="preserve">, </w:t>
      </w:r>
      <w:r w:rsidRPr="00CE1C2D">
        <w:t>however, it is planned that the grading system will be standardized across school boards</w:t>
      </w:r>
      <w:r w:rsidR="00460E18" w:rsidRPr="00CE1C2D">
        <w:t xml:space="preserve"> (NU</w:t>
      </w:r>
      <w:r w:rsidR="00730E0F" w:rsidRPr="00CE1C2D">
        <w:t>,</w:t>
      </w:r>
      <w:r w:rsidR="00564B83" w:rsidRPr="00CE1C2D">
        <w:t xml:space="preserve"> MOE, 2016)</w:t>
      </w:r>
      <w:r w:rsidRPr="00CE1C2D">
        <w:t>. In Q</w:t>
      </w:r>
      <w:r w:rsidR="00460E18" w:rsidRPr="00CE1C2D">
        <w:t>C</w:t>
      </w:r>
      <w:r w:rsidR="00194BAA" w:rsidRPr="00CE1C2D">
        <w:t>,</w:t>
      </w:r>
      <w:r w:rsidRPr="00CE1C2D">
        <w:t xml:space="preserve"> reporting at the elementary level occurs during each of the three cycles through a variety of informal and formal methods (e.g., portfolios, journals, and report cards)</w:t>
      </w:r>
      <w:r w:rsidR="00194BAA" w:rsidRPr="00CE1C2D">
        <w:t>.</w:t>
      </w:r>
      <w:r w:rsidRPr="00CE1C2D">
        <w:t xml:space="preserve"> At the secondary level reporting </w:t>
      </w:r>
      <w:r w:rsidR="00067DF9" w:rsidRPr="00CE1C2D">
        <w:t>was</w:t>
      </w:r>
      <w:r w:rsidRPr="00CE1C2D">
        <w:t xml:space="preserve"> regulated at the individual school level</w:t>
      </w:r>
      <w:r w:rsidR="004A07F9" w:rsidRPr="00CE1C2D">
        <w:t xml:space="preserve"> (</w:t>
      </w:r>
      <w:r w:rsidR="00026B3A" w:rsidRPr="00CE1C2D">
        <w:t>QC2</w:t>
      </w:r>
      <w:r w:rsidR="00FD58D8" w:rsidRPr="00CE1C2D">
        <w:t>,</w:t>
      </w:r>
      <w:r w:rsidR="00026B3A" w:rsidRPr="00CE1C2D">
        <w:t xml:space="preserve"> MEQ,</w:t>
      </w:r>
      <w:r w:rsidR="00FD58D8" w:rsidRPr="00CE1C2D">
        <w:t xml:space="preserve"> </w:t>
      </w:r>
      <w:r w:rsidR="004A07F9" w:rsidRPr="00CE1C2D">
        <w:t>20</w:t>
      </w:r>
      <w:r w:rsidR="00FD58D8" w:rsidRPr="00CE1C2D">
        <w:t>11)</w:t>
      </w:r>
      <w:r w:rsidRPr="00CE1C2D">
        <w:t xml:space="preserve">. </w:t>
      </w:r>
    </w:p>
    <w:p w14:paraId="1C014024" w14:textId="1A2DDC4B" w:rsidR="00A17F03" w:rsidRDefault="00412492" w:rsidP="00801D8B">
      <w:pPr>
        <w:spacing w:line="480" w:lineRule="auto"/>
        <w:ind w:firstLine="720"/>
        <w:contextualSpacing/>
      </w:pPr>
      <w:r w:rsidRPr="00CE1C2D">
        <w:t>NB provided e</w:t>
      </w:r>
      <w:r w:rsidR="00A17F03" w:rsidRPr="00CE1C2D">
        <w:t xml:space="preserve">xamples of report cards at the elementary level. Interestingly, new report cards have been piloted in the Anglophone West school board where there </w:t>
      </w:r>
      <w:r w:rsidR="00067DF9" w:rsidRPr="00CE1C2D">
        <w:t>was</w:t>
      </w:r>
      <w:r w:rsidR="00A17F03" w:rsidRPr="00CE1C2D">
        <w:t xml:space="preserve"> a movement away from letter and numerical grades</w:t>
      </w:r>
      <w:r w:rsidRPr="00CE1C2D">
        <w:t xml:space="preserve"> </w:t>
      </w:r>
      <w:r w:rsidR="00F54237" w:rsidRPr="00CE1C2D">
        <w:t>(NB, Department of Education and Early Childhood Development, 2016)</w:t>
      </w:r>
      <w:r w:rsidR="00A17F03" w:rsidRPr="00CE1C2D">
        <w:t xml:space="preserve">. In </w:t>
      </w:r>
      <w:r w:rsidR="00E015E5" w:rsidRPr="00CE1C2D">
        <w:t>NS</w:t>
      </w:r>
      <w:r w:rsidR="00A17F03" w:rsidRPr="00CE1C2D">
        <w:t xml:space="preserve">, letter and numerical grades are used for the various grade levels. It is emphasized that when reporting student </w:t>
      </w:r>
      <w:r w:rsidR="00C24DEE" w:rsidRPr="00CE1C2D">
        <w:t>achievement,</w:t>
      </w:r>
      <w:r w:rsidR="00A17F03" w:rsidRPr="00CE1C2D">
        <w:t xml:space="preserve"> it should be clear, timely, relevant, and accurate so that it is effectively used and interpreted</w:t>
      </w:r>
      <w:r w:rsidR="00C24DEE" w:rsidRPr="00CE1C2D">
        <w:t xml:space="preserve"> </w:t>
      </w:r>
      <w:r w:rsidR="003B7793" w:rsidRPr="00CE1C2D">
        <w:t>(NS3, Department of Education, 2002)</w:t>
      </w:r>
      <w:r w:rsidR="00A17F03" w:rsidRPr="00CE1C2D">
        <w:t xml:space="preserve">. Lastly, reporting of student achievement in </w:t>
      </w:r>
      <w:r w:rsidR="00354727" w:rsidRPr="00CE1C2D">
        <w:t>PE</w:t>
      </w:r>
      <w:r w:rsidR="00A17F03" w:rsidRPr="00CE1C2D">
        <w:t xml:space="preserve"> seems to be outlined at both the provincial and school district levels. The primary purpose of report cards </w:t>
      </w:r>
      <w:r w:rsidR="00067DF9" w:rsidRPr="00CE1C2D">
        <w:t>was</w:t>
      </w:r>
      <w:r w:rsidR="00A17F03" w:rsidRPr="00CE1C2D">
        <w:t xml:space="preserve"> clearly mentioned “while report cards serve many functions their primary purpose is to communicate student achievement to the student and</w:t>
      </w:r>
      <w:r w:rsidR="001F45D7" w:rsidRPr="00CE1C2D">
        <w:t xml:space="preserve"> </w:t>
      </w:r>
      <w:r w:rsidR="00074739" w:rsidRPr="00CE1C2D">
        <w:t>parents/guardians</w:t>
      </w:r>
      <w:r w:rsidR="00A17F03" w:rsidRPr="00CE1C2D">
        <w:t>”</w:t>
      </w:r>
      <w:r w:rsidR="00074739" w:rsidRPr="00CE1C2D">
        <w:t xml:space="preserve"> (PE, </w:t>
      </w:r>
      <w:r w:rsidR="00E575A6" w:rsidRPr="00CE1C2D">
        <w:t>English Language School Board, 2015, p. 3).</w:t>
      </w:r>
      <w:r w:rsidR="00A17F03" w:rsidRPr="00CE1C2D">
        <w:t xml:space="preserve"> </w:t>
      </w:r>
      <w:r w:rsidR="00CE1C2D" w:rsidRPr="00CE1C2D">
        <w:t>In PE, there are both</w:t>
      </w:r>
      <w:r w:rsidR="00A17F03" w:rsidRPr="00CE1C2D">
        <w:t xml:space="preserve"> informal and formal reports that </w:t>
      </w:r>
      <w:r w:rsidR="00067DF9" w:rsidRPr="00CE1C2D">
        <w:t>were</w:t>
      </w:r>
      <w:r w:rsidR="00A17F03" w:rsidRPr="00CE1C2D">
        <w:t xml:space="preserve"> mandated </w:t>
      </w:r>
      <w:r w:rsidR="00CE1C2D" w:rsidRPr="00CE1C2D">
        <w:t>by the ministry</w:t>
      </w:r>
      <w:r w:rsidR="00A17F03" w:rsidRPr="00CE1C2D">
        <w:t xml:space="preserve"> to communicate student achievement to parents/guardians. Overall, there </w:t>
      </w:r>
      <w:r w:rsidR="00067DF9" w:rsidRPr="00CE1C2D">
        <w:t>were</w:t>
      </w:r>
      <w:r w:rsidR="00A17F03" w:rsidRPr="00CE1C2D">
        <w:t xml:space="preserve"> clearly differences in</w:t>
      </w:r>
      <w:r w:rsidR="00CE1C2D" w:rsidRPr="00CE1C2D">
        <w:t xml:space="preserve"> grade</w:t>
      </w:r>
      <w:r w:rsidR="00A17F03" w:rsidRPr="00CE1C2D">
        <w:t xml:space="preserve"> reporting </w:t>
      </w:r>
      <w:r w:rsidR="00CE1C2D" w:rsidRPr="00CE1C2D">
        <w:t xml:space="preserve">processes </w:t>
      </w:r>
      <w:r w:rsidR="00A17F03" w:rsidRPr="00CE1C2D">
        <w:t>across Canada where some ministries of education outline</w:t>
      </w:r>
      <w:r w:rsidR="00067DF9" w:rsidRPr="00CE1C2D">
        <w:t>d</w:t>
      </w:r>
      <w:r w:rsidR="00A17F03" w:rsidRPr="00CE1C2D">
        <w:t xml:space="preserve"> the requirements for </w:t>
      </w:r>
      <w:r w:rsidR="00A17F03" w:rsidRPr="00CE1C2D">
        <w:lastRenderedPageBreak/>
        <w:t>reporting</w:t>
      </w:r>
      <w:r w:rsidR="009448D5" w:rsidRPr="00CE1C2D">
        <w:t>,</w:t>
      </w:r>
      <w:r w:rsidR="00A17F03" w:rsidRPr="00CE1C2D">
        <w:t xml:space="preserve"> whereas in some areas</w:t>
      </w:r>
      <w:r w:rsidR="00CE1C2D" w:rsidRPr="00CE1C2D">
        <w:t>,</w:t>
      </w:r>
      <w:r w:rsidR="00A17F03" w:rsidRPr="00CE1C2D">
        <w:t xml:space="preserve"> school districts </w:t>
      </w:r>
      <w:r w:rsidR="00855B4A" w:rsidRPr="00CE1C2D">
        <w:t>were</w:t>
      </w:r>
      <w:r w:rsidR="00A17F03" w:rsidRPr="00CE1C2D">
        <w:t xml:space="preserve"> responsible for how student achievement is reported.</w:t>
      </w:r>
      <w:r w:rsidR="00A17F03" w:rsidRPr="00525D61">
        <w:t xml:space="preserve"> </w:t>
      </w:r>
    </w:p>
    <w:p w14:paraId="590C0A71" w14:textId="7B21244C" w:rsidR="00525D61" w:rsidRPr="00525D61" w:rsidRDefault="00F62BC5" w:rsidP="00801D8B">
      <w:pPr>
        <w:spacing w:line="480" w:lineRule="auto"/>
        <w:contextualSpacing/>
        <w:outlineLvl w:val="0"/>
        <w:rPr>
          <w:b/>
          <w:lang w:val="en-CA"/>
        </w:rPr>
      </w:pPr>
      <w:r>
        <w:rPr>
          <w:b/>
          <w:lang w:val="en-CA"/>
        </w:rPr>
        <w:t>Grading in Relation to</w:t>
      </w:r>
      <w:r w:rsidR="00A17F03" w:rsidRPr="00525D61">
        <w:rPr>
          <w:b/>
          <w:lang w:val="en-CA"/>
        </w:rPr>
        <w:t xml:space="preserve"> Formative Assessment</w:t>
      </w:r>
      <w:r>
        <w:rPr>
          <w:b/>
          <w:lang w:val="en-CA"/>
        </w:rPr>
        <w:t>s</w:t>
      </w:r>
    </w:p>
    <w:p w14:paraId="07F8569F" w14:textId="4D06CC77" w:rsidR="00A17F03" w:rsidRDefault="00A17F03" w:rsidP="00801D8B">
      <w:pPr>
        <w:spacing w:line="480" w:lineRule="auto"/>
        <w:contextualSpacing/>
        <w:rPr>
          <w:lang w:val="en-CA"/>
        </w:rPr>
      </w:pPr>
      <w:r w:rsidRPr="00525D61">
        <w:rPr>
          <w:lang w:val="en-CA"/>
        </w:rPr>
        <w:tab/>
        <w:t xml:space="preserve">Grading policies across Canada articulated the tensions between summative and formative assessment practices differently. </w:t>
      </w:r>
      <w:r w:rsidR="00343569">
        <w:rPr>
          <w:lang w:val="en-CA"/>
        </w:rPr>
        <w:t>D</w:t>
      </w:r>
      <w:r w:rsidRPr="00525D61">
        <w:rPr>
          <w:lang w:val="en-CA"/>
        </w:rPr>
        <w:t xml:space="preserve">ifferences </w:t>
      </w:r>
      <w:r w:rsidR="00343569">
        <w:rPr>
          <w:lang w:val="en-CA"/>
        </w:rPr>
        <w:t xml:space="preserve">related to </w:t>
      </w:r>
      <w:r w:rsidRPr="00525D61">
        <w:rPr>
          <w:lang w:val="en-CA"/>
        </w:rPr>
        <w:t xml:space="preserve">terminology used, </w:t>
      </w:r>
      <w:r w:rsidR="00343569">
        <w:rPr>
          <w:lang w:val="en-CA"/>
        </w:rPr>
        <w:t>the use of</w:t>
      </w:r>
      <w:r w:rsidRPr="00525D61">
        <w:rPr>
          <w:lang w:val="en-CA"/>
        </w:rPr>
        <w:t xml:space="preserve"> balanced assessment practices</w:t>
      </w:r>
      <w:r w:rsidR="00343569">
        <w:rPr>
          <w:lang w:val="en-CA"/>
        </w:rPr>
        <w:t>,</w:t>
      </w:r>
      <w:r w:rsidRPr="00525D61">
        <w:rPr>
          <w:lang w:val="en-CA"/>
        </w:rPr>
        <w:t xml:space="preserve"> and articulati</w:t>
      </w:r>
      <w:r w:rsidR="00343569">
        <w:rPr>
          <w:lang w:val="en-CA"/>
        </w:rPr>
        <w:t xml:space="preserve">ons on </w:t>
      </w:r>
      <w:r w:rsidRPr="00525D61">
        <w:rPr>
          <w:lang w:val="en-CA"/>
        </w:rPr>
        <w:t xml:space="preserve">how formative and summative assessments should be used. </w:t>
      </w:r>
    </w:p>
    <w:p w14:paraId="4C450878" w14:textId="0F62CBF9" w:rsidR="00426829" w:rsidRPr="00426829" w:rsidRDefault="00426829" w:rsidP="00801D8B">
      <w:pPr>
        <w:spacing w:line="480" w:lineRule="auto"/>
        <w:contextualSpacing/>
        <w:outlineLvl w:val="0"/>
        <w:rPr>
          <w:b/>
          <w:i/>
          <w:lang w:val="en-CA"/>
        </w:rPr>
      </w:pPr>
      <w:r>
        <w:rPr>
          <w:b/>
          <w:i/>
          <w:lang w:val="en-CA"/>
        </w:rPr>
        <w:t>Terminology</w:t>
      </w:r>
    </w:p>
    <w:p w14:paraId="5D1FD74B" w14:textId="72BA2563" w:rsidR="00A17F03" w:rsidRPr="00BB6C05" w:rsidRDefault="00A17F03" w:rsidP="00801D8B">
      <w:pPr>
        <w:spacing w:line="480" w:lineRule="auto"/>
        <w:contextualSpacing/>
        <w:rPr>
          <w:lang w:val="en-CA"/>
        </w:rPr>
      </w:pPr>
      <w:r w:rsidRPr="00525D61">
        <w:rPr>
          <w:lang w:val="en-CA"/>
        </w:rPr>
        <w:tab/>
        <w:t xml:space="preserve">Canadian provinces and territories </w:t>
      </w:r>
      <w:r w:rsidR="00D566C0">
        <w:rPr>
          <w:lang w:val="en-CA"/>
        </w:rPr>
        <w:t>used</w:t>
      </w:r>
      <w:r w:rsidRPr="00525D61">
        <w:rPr>
          <w:lang w:val="en-CA"/>
        </w:rPr>
        <w:t xml:space="preserve"> both ‘evaluation’ and ‘assessment’ throughout their grading policies. Although when using ‘evaluation’ it </w:t>
      </w:r>
      <w:r w:rsidR="00855B4A">
        <w:rPr>
          <w:lang w:val="en-CA"/>
        </w:rPr>
        <w:t>was</w:t>
      </w:r>
      <w:r w:rsidR="00D566C0">
        <w:rPr>
          <w:lang w:val="en-CA"/>
        </w:rPr>
        <w:t xml:space="preserve"> made clear that this included</w:t>
      </w:r>
      <w:r w:rsidRPr="00525D61">
        <w:rPr>
          <w:lang w:val="en-CA"/>
        </w:rPr>
        <w:t xml:space="preserve"> </w:t>
      </w:r>
      <w:r w:rsidR="00CC08A4">
        <w:rPr>
          <w:lang w:val="en-CA"/>
        </w:rPr>
        <w:t xml:space="preserve">a summative </w:t>
      </w:r>
      <w:r w:rsidRPr="00BB6C05">
        <w:rPr>
          <w:lang w:val="en-CA"/>
        </w:rPr>
        <w:t xml:space="preserve">judgment about student learning from teachers. Summative and formative assessment terms </w:t>
      </w:r>
      <w:r w:rsidR="00D566C0" w:rsidRPr="00BB6C05">
        <w:rPr>
          <w:lang w:val="en-CA"/>
        </w:rPr>
        <w:t>were</w:t>
      </w:r>
      <w:r w:rsidRPr="00BB6C05">
        <w:rPr>
          <w:lang w:val="en-CA"/>
        </w:rPr>
        <w:t xml:space="preserve"> used in BC</w:t>
      </w:r>
      <w:r w:rsidR="002079AF" w:rsidRPr="00BB6C05">
        <w:rPr>
          <w:lang w:val="en-CA"/>
        </w:rPr>
        <w:t xml:space="preserve"> (</w:t>
      </w:r>
      <w:r w:rsidR="00917421" w:rsidRPr="00BB6C05">
        <w:t>BC1, MOE, 2009</w:t>
      </w:r>
      <w:r w:rsidR="00917421" w:rsidRPr="00BB6C05">
        <w:rPr>
          <w:lang w:val="en-CA"/>
        </w:rPr>
        <w:t>),</w:t>
      </w:r>
      <w:r w:rsidRPr="00BB6C05">
        <w:rPr>
          <w:lang w:val="en-CA"/>
        </w:rPr>
        <w:t xml:space="preserve"> however other provinces and territories such as</w:t>
      </w:r>
      <w:r w:rsidR="0031725A" w:rsidRPr="00BB6C05">
        <w:rPr>
          <w:lang w:val="en-CA"/>
        </w:rPr>
        <w:t xml:space="preserve"> </w:t>
      </w:r>
      <w:r w:rsidRPr="00BB6C05">
        <w:rPr>
          <w:lang w:val="en-CA"/>
        </w:rPr>
        <w:t xml:space="preserve">SK, </w:t>
      </w:r>
      <w:r w:rsidR="008F4BB5" w:rsidRPr="00BB6C05">
        <w:rPr>
          <w:lang w:val="en-CA"/>
        </w:rPr>
        <w:t>N</w:t>
      </w:r>
      <w:r w:rsidR="00827243">
        <w:rPr>
          <w:lang w:val="en-CA"/>
        </w:rPr>
        <w:t>W</w:t>
      </w:r>
      <w:r w:rsidR="008F4BB5" w:rsidRPr="00BB6C05">
        <w:rPr>
          <w:lang w:val="en-CA"/>
        </w:rPr>
        <w:t>T</w:t>
      </w:r>
      <w:r w:rsidRPr="00BB6C05">
        <w:rPr>
          <w:lang w:val="en-CA"/>
        </w:rPr>
        <w:t>, N</w:t>
      </w:r>
      <w:r w:rsidR="00E76BD8" w:rsidRPr="00BB6C05">
        <w:rPr>
          <w:lang w:val="en-CA"/>
        </w:rPr>
        <w:t>U</w:t>
      </w:r>
      <w:r w:rsidRPr="00BB6C05">
        <w:rPr>
          <w:lang w:val="en-CA"/>
        </w:rPr>
        <w:t>, and QC</w:t>
      </w:r>
      <w:r w:rsidR="0031725A" w:rsidRPr="00BB6C05">
        <w:rPr>
          <w:lang w:val="en-CA"/>
        </w:rPr>
        <w:t>,</w:t>
      </w:r>
      <w:r w:rsidRPr="00BB6C05">
        <w:rPr>
          <w:lang w:val="en-CA"/>
        </w:rPr>
        <w:t xml:space="preserve"> have included diagnostic assessment </w:t>
      </w:r>
      <w:r w:rsidR="0031725A" w:rsidRPr="00BB6C05">
        <w:rPr>
          <w:lang w:val="en-CA"/>
        </w:rPr>
        <w:t xml:space="preserve">as tasks that </w:t>
      </w:r>
      <w:r w:rsidRPr="00BB6C05">
        <w:rPr>
          <w:lang w:val="en-CA"/>
        </w:rPr>
        <w:t>identify student needs before learning</w:t>
      </w:r>
      <w:r w:rsidR="00C30096" w:rsidRPr="00BB6C05">
        <w:rPr>
          <w:lang w:val="en-CA"/>
        </w:rPr>
        <w:t xml:space="preserve"> (</w:t>
      </w:r>
      <w:r w:rsidR="0087060A" w:rsidRPr="00BB6C05">
        <w:t>QC1, MEQ, 2003;</w:t>
      </w:r>
      <w:r w:rsidR="00522199" w:rsidRPr="00BB6C05">
        <w:t xml:space="preserve"> NT1, </w:t>
      </w:r>
      <w:r w:rsidR="00522199" w:rsidRPr="00BB6C05">
        <w:rPr>
          <w:bCs/>
        </w:rPr>
        <w:t xml:space="preserve">2011; </w:t>
      </w:r>
      <w:r w:rsidR="00FC5A13">
        <w:t xml:space="preserve">NU1, Department of Education, </w:t>
      </w:r>
      <w:r w:rsidR="00522199" w:rsidRPr="00BB6C05">
        <w:t>2008;</w:t>
      </w:r>
      <w:r w:rsidR="00522199" w:rsidRPr="00BB6C05">
        <w:rPr>
          <w:bCs/>
        </w:rPr>
        <w:t xml:space="preserve"> </w:t>
      </w:r>
      <w:r w:rsidR="00C30096" w:rsidRPr="00BB6C05">
        <w:t>SK1, Department of Education, 1991</w:t>
      </w:r>
      <w:r w:rsidR="0087060A" w:rsidRPr="00BB6C05">
        <w:t>)</w:t>
      </w:r>
      <w:r w:rsidRPr="00BB6C05">
        <w:rPr>
          <w:lang w:val="en-CA"/>
        </w:rPr>
        <w:t>. Other provinces like ON and MB have moved</w:t>
      </w:r>
      <w:r w:rsidR="006775B7" w:rsidRPr="00BB6C05">
        <w:rPr>
          <w:lang w:val="en-CA"/>
        </w:rPr>
        <w:t xml:space="preserve"> to A</w:t>
      </w:r>
      <w:r w:rsidR="006E088E">
        <w:rPr>
          <w:lang w:val="en-CA"/>
        </w:rPr>
        <w:t>O</w:t>
      </w:r>
      <w:r w:rsidR="006775B7" w:rsidRPr="00BB6C05">
        <w:rPr>
          <w:lang w:val="en-CA"/>
        </w:rPr>
        <w:t>L, A</w:t>
      </w:r>
      <w:r w:rsidR="006E088E">
        <w:rPr>
          <w:lang w:val="en-CA"/>
        </w:rPr>
        <w:t>F</w:t>
      </w:r>
      <w:r w:rsidR="006775B7" w:rsidRPr="00BB6C05">
        <w:rPr>
          <w:lang w:val="en-CA"/>
        </w:rPr>
        <w:t>L</w:t>
      </w:r>
      <w:r w:rsidR="006E088E">
        <w:rPr>
          <w:lang w:val="en-CA"/>
        </w:rPr>
        <w:t>, and AAL</w:t>
      </w:r>
      <w:r w:rsidR="006775B7" w:rsidRPr="00BB6C05">
        <w:rPr>
          <w:lang w:val="en-CA"/>
        </w:rPr>
        <w:t xml:space="preserve"> </w:t>
      </w:r>
      <w:r w:rsidRPr="00BB6C05">
        <w:rPr>
          <w:lang w:val="en-CA"/>
        </w:rPr>
        <w:t>in place of summative and formative term</w:t>
      </w:r>
      <w:r w:rsidR="0031725A" w:rsidRPr="00BB6C05">
        <w:rPr>
          <w:lang w:val="en-CA"/>
        </w:rPr>
        <w:t>inology</w:t>
      </w:r>
      <w:r w:rsidR="007844C2" w:rsidRPr="00BB6C05">
        <w:rPr>
          <w:lang w:val="en-CA"/>
        </w:rPr>
        <w:t xml:space="preserve"> </w:t>
      </w:r>
      <w:r w:rsidR="007844C2" w:rsidRPr="00BB6C05">
        <w:t>(MB1, Department of Manitoba Education, Citizenship and Youth, 2008; ON, MOE, 2010)</w:t>
      </w:r>
      <w:r w:rsidRPr="00BB6C05">
        <w:rPr>
          <w:lang w:val="en-CA"/>
        </w:rPr>
        <w:t>. Other Canadian provinces such as NB, NS</w:t>
      </w:r>
      <w:r w:rsidR="00244E48" w:rsidRPr="00BB6C05">
        <w:rPr>
          <w:lang w:val="en-CA"/>
        </w:rPr>
        <w:t>,</w:t>
      </w:r>
      <w:r w:rsidRPr="00BB6C05">
        <w:rPr>
          <w:lang w:val="en-CA"/>
        </w:rPr>
        <w:t xml:space="preserve"> and </w:t>
      </w:r>
      <w:r w:rsidR="00354727" w:rsidRPr="00BB6C05">
        <w:rPr>
          <w:lang w:val="en-CA"/>
        </w:rPr>
        <w:t>PE</w:t>
      </w:r>
      <w:r w:rsidR="00874295" w:rsidRPr="00BB6C05">
        <w:rPr>
          <w:lang w:val="en-CA"/>
        </w:rPr>
        <w:t xml:space="preserve"> did</w:t>
      </w:r>
      <w:r w:rsidR="000131EE" w:rsidRPr="00BB6C05">
        <w:rPr>
          <w:lang w:val="en-CA"/>
        </w:rPr>
        <w:t xml:space="preserve"> not explicitly use A</w:t>
      </w:r>
      <w:r w:rsidR="006E088E">
        <w:rPr>
          <w:lang w:val="en-CA"/>
        </w:rPr>
        <w:t>A</w:t>
      </w:r>
      <w:r w:rsidR="000131EE" w:rsidRPr="00BB6C05">
        <w:rPr>
          <w:lang w:val="en-CA"/>
        </w:rPr>
        <w:t>L</w:t>
      </w:r>
      <w:r w:rsidRPr="00BB6C05">
        <w:rPr>
          <w:lang w:val="en-CA"/>
        </w:rPr>
        <w:t xml:space="preserve"> but include ‘assessment for’ and ‘of’ learning</w:t>
      </w:r>
      <w:r w:rsidR="007844C2" w:rsidRPr="00BB6C05">
        <w:rPr>
          <w:lang w:val="en-CA"/>
        </w:rPr>
        <w:t xml:space="preserve"> (</w:t>
      </w:r>
      <w:r w:rsidR="005D77FE" w:rsidRPr="00BB6C05">
        <w:rPr>
          <w:lang w:val="en-CA"/>
        </w:rPr>
        <w:t>NB</w:t>
      </w:r>
      <w:r w:rsidR="00244E48" w:rsidRPr="00BB6C05">
        <w:rPr>
          <w:lang w:val="en-CA"/>
        </w:rPr>
        <w:t>1</w:t>
      </w:r>
      <w:r w:rsidR="005D77FE" w:rsidRPr="00BB6C05">
        <w:rPr>
          <w:lang w:val="en-CA"/>
        </w:rPr>
        <w:t>, Department of Education and Early Childhood Development</w:t>
      </w:r>
      <w:r w:rsidR="00244E48" w:rsidRPr="00BB6C05">
        <w:rPr>
          <w:lang w:val="en-CA"/>
        </w:rPr>
        <w:t>, 2013</w:t>
      </w:r>
      <w:r w:rsidR="005D77FE" w:rsidRPr="00BB6C05">
        <w:rPr>
          <w:lang w:val="en-CA"/>
        </w:rPr>
        <w:t>;</w:t>
      </w:r>
      <w:r w:rsidR="00F627C9" w:rsidRPr="00BB6C05">
        <w:rPr>
          <w:lang w:val="en-CA"/>
        </w:rPr>
        <w:t xml:space="preserve"> NS2, </w:t>
      </w:r>
      <w:r w:rsidR="001C1BCB" w:rsidRPr="00BB6C05">
        <w:rPr>
          <w:lang w:val="en-CA"/>
        </w:rPr>
        <w:t>South Sh</w:t>
      </w:r>
      <w:r w:rsidR="006B5E2D" w:rsidRPr="00BB6C05">
        <w:rPr>
          <w:lang w:val="en-CA"/>
        </w:rPr>
        <w:t>ore Regional School Board, 2015.</w:t>
      </w:r>
      <w:r w:rsidR="00724133" w:rsidRPr="00BB6C05">
        <w:rPr>
          <w:lang w:val="en-CA"/>
        </w:rPr>
        <w:t xml:space="preserve"> </w:t>
      </w:r>
      <w:r w:rsidR="00354727" w:rsidRPr="00BB6C05">
        <w:t>PE</w:t>
      </w:r>
      <w:r w:rsidR="00874295" w:rsidRPr="00BB6C05">
        <w:t xml:space="preserve"> used</w:t>
      </w:r>
      <w:r w:rsidRPr="00BB6C05">
        <w:t xml:space="preserve"> the term ‘student achievement’ to indicate what students have learned from a more holistic perspective</w:t>
      </w:r>
      <w:r w:rsidR="006B5E2D" w:rsidRPr="00BB6C05">
        <w:t xml:space="preserve"> (</w:t>
      </w:r>
      <w:r w:rsidR="006B5E2D" w:rsidRPr="00BB6C05">
        <w:rPr>
          <w:lang w:val="en-CA"/>
        </w:rPr>
        <w:t xml:space="preserve">PE1, </w:t>
      </w:r>
      <w:r w:rsidR="006B5E2D" w:rsidRPr="00BB6C05">
        <w:t>English Language School Board, 2015).</w:t>
      </w:r>
      <w:r w:rsidRPr="00525D61">
        <w:t xml:space="preserve"> More </w:t>
      </w:r>
      <w:r w:rsidR="00874295">
        <w:t>specifically, this term included</w:t>
      </w:r>
      <w:r w:rsidRPr="00525D61">
        <w:t xml:space="preserve"> student learning through informal and formal means, learning in relation to the curriculum outcomes, an individual’s work habits and efforts while also including </w:t>
      </w:r>
      <w:r w:rsidRPr="00525D61">
        <w:lastRenderedPageBreak/>
        <w:t>student progress or growth over time. This term</w:t>
      </w:r>
      <w:r w:rsidR="00874295">
        <w:t xml:space="preserve"> clearly indicated</w:t>
      </w:r>
      <w:r w:rsidRPr="00525D61">
        <w:t xml:space="preserve"> that grades from summative assessments would be considered alongside other evidence gathered throughout the learning process. Although a separate term </w:t>
      </w:r>
      <w:r w:rsidR="00874295">
        <w:t>was</w:t>
      </w:r>
      <w:r w:rsidRPr="00525D61">
        <w:t xml:space="preserve"> used to describe this holistic approach this is an indication that the boundaries between summative and formative assessments continue to be blurred. </w:t>
      </w:r>
      <w:r w:rsidRPr="00525D61">
        <w:rPr>
          <w:lang w:val="en-CA"/>
        </w:rPr>
        <w:t xml:space="preserve">Surprisingly, formative assessment was not explicitly articulated in AB grading policies despite emphasizing that student exemplars and expected outcomes should be made available to students. </w:t>
      </w:r>
      <w:r w:rsidR="00986790">
        <w:rPr>
          <w:lang w:val="en-CA"/>
        </w:rPr>
        <w:t xml:space="preserve">Formative assessment practices may be articulated in other AB policies including general curriculum and assessment policies. </w:t>
      </w:r>
      <w:r w:rsidRPr="00525D61">
        <w:rPr>
          <w:lang w:val="en-CA"/>
        </w:rPr>
        <w:t xml:space="preserve">Formative and summative assessments in </w:t>
      </w:r>
      <w:r w:rsidR="006B5E2D">
        <w:rPr>
          <w:lang w:val="en-CA"/>
        </w:rPr>
        <w:t>NB</w:t>
      </w:r>
      <w:r w:rsidRPr="00525D61">
        <w:rPr>
          <w:lang w:val="en-CA"/>
        </w:rPr>
        <w:t xml:space="preserve"> </w:t>
      </w:r>
      <w:r w:rsidR="00874295">
        <w:rPr>
          <w:lang w:val="en-CA"/>
        </w:rPr>
        <w:t>were</w:t>
      </w:r>
      <w:r w:rsidRPr="00525D61">
        <w:rPr>
          <w:lang w:val="en-CA"/>
        </w:rPr>
        <w:t xml:space="preserve"> conceptualized as different approaches through their purpose (the why) and process (the how)</w:t>
      </w:r>
      <w:r w:rsidR="00B50298">
        <w:rPr>
          <w:lang w:val="en-CA"/>
        </w:rPr>
        <w:t xml:space="preserve"> </w:t>
      </w:r>
      <w:r w:rsidR="00B50298" w:rsidRPr="00BB6C05">
        <w:t>(NB1, Brunswick Department of Education and Early Childhood Development, 2013</w:t>
      </w:r>
      <w:r w:rsidR="00D9069C" w:rsidRPr="00BB6C05">
        <w:t>)</w:t>
      </w:r>
      <w:r w:rsidRPr="00BB6C05">
        <w:rPr>
          <w:lang w:val="en-CA"/>
        </w:rPr>
        <w:t>. These distinctions help</w:t>
      </w:r>
      <w:r w:rsidR="00874295" w:rsidRPr="00BB6C05">
        <w:rPr>
          <w:lang w:val="en-CA"/>
        </w:rPr>
        <w:t>ed</w:t>
      </w:r>
      <w:r w:rsidRPr="00BB6C05">
        <w:rPr>
          <w:lang w:val="en-CA"/>
        </w:rPr>
        <w:t xml:space="preserve"> to clarify the blurred boundaries between forma</w:t>
      </w:r>
      <w:r w:rsidR="00426829" w:rsidRPr="00BB6C05">
        <w:rPr>
          <w:lang w:val="en-CA"/>
        </w:rPr>
        <w:t>tive and summative assessments.</w:t>
      </w:r>
    </w:p>
    <w:p w14:paraId="1231226C" w14:textId="67D63735" w:rsidR="00A17F03" w:rsidRPr="00BB6C05" w:rsidRDefault="00A17F03" w:rsidP="00801D8B">
      <w:pPr>
        <w:spacing w:line="480" w:lineRule="auto"/>
        <w:contextualSpacing/>
      </w:pPr>
      <w:r w:rsidRPr="00BB6C05">
        <w:rPr>
          <w:lang w:val="en-CA"/>
        </w:rPr>
        <w:tab/>
        <w:t>The majority of grading policies across provinces and territories were very explicit about the value of formative assessment. However, it was explicitly mentioned in all provinces and territories (with the exception of NS, NB and AB) that formative assessments should not be used for summative purposes. More s</w:t>
      </w:r>
      <w:r w:rsidR="00BC0995" w:rsidRPr="00BB6C05">
        <w:rPr>
          <w:lang w:val="en-CA"/>
        </w:rPr>
        <w:t>pecifically, BC states</w:t>
      </w:r>
      <w:r w:rsidRPr="00BB6C05">
        <w:rPr>
          <w:lang w:val="en-CA"/>
        </w:rPr>
        <w:t xml:space="preserve"> “</w:t>
      </w:r>
      <w:r w:rsidRPr="00BB6C05">
        <w:rPr>
          <w:iCs/>
        </w:rPr>
        <w:t>results from practice exercises support students’ learning but should not contribute to the term or final letter grade”</w:t>
      </w:r>
      <w:r w:rsidR="00326638" w:rsidRPr="00BB6C05">
        <w:rPr>
          <w:i/>
          <w:iCs/>
        </w:rPr>
        <w:t xml:space="preserve"> </w:t>
      </w:r>
      <w:r w:rsidR="00326638" w:rsidRPr="00BB6C05">
        <w:rPr>
          <w:iCs/>
        </w:rPr>
        <w:t>(</w:t>
      </w:r>
      <w:r w:rsidR="00C51603" w:rsidRPr="00BB6C05">
        <w:rPr>
          <w:iCs/>
        </w:rPr>
        <w:t>BC1, MOE, 2009, p 25</w:t>
      </w:r>
      <w:r w:rsidR="00326638" w:rsidRPr="00BB6C05">
        <w:rPr>
          <w:iCs/>
        </w:rPr>
        <w:t>)</w:t>
      </w:r>
      <w:r w:rsidRPr="00BB6C05">
        <w:rPr>
          <w:i/>
          <w:iCs/>
        </w:rPr>
        <w:t xml:space="preserve"> </w:t>
      </w:r>
      <w:r w:rsidR="00BC0995" w:rsidRPr="00BB6C05">
        <w:rPr>
          <w:iCs/>
        </w:rPr>
        <w:t>and QC also articulated</w:t>
      </w:r>
      <w:r w:rsidRPr="00BB6C05">
        <w:rPr>
          <w:iCs/>
        </w:rPr>
        <w:t xml:space="preserve"> this explicitly </w:t>
      </w:r>
      <w:r w:rsidRPr="00BB6C05">
        <w:t>“the student must be provided with feedback on this element, but the element must not be considered when determining the student’s mark in the report card”</w:t>
      </w:r>
      <w:r w:rsidR="00FA0100" w:rsidRPr="00BB6C05">
        <w:rPr>
          <w:i/>
        </w:rPr>
        <w:t xml:space="preserve"> </w:t>
      </w:r>
      <w:r w:rsidR="00FA0100" w:rsidRPr="00BB6C05">
        <w:t>(</w:t>
      </w:r>
      <w:r w:rsidR="00C51603" w:rsidRPr="00BB6C05">
        <w:t xml:space="preserve">QC2, MEQ, 2011, </w:t>
      </w:r>
      <w:r w:rsidR="00DC70AB" w:rsidRPr="00BB6C05">
        <w:t>p</w:t>
      </w:r>
      <w:r w:rsidR="00C51603" w:rsidRPr="00BB6C05">
        <w:t>.</w:t>
      </w:r>
      <w:r w:rsidR="00DC70AB" w:rsidRPr="00BB6C05">
        <w:t xml:space="preserve"> 3</w:t>
      </w:r>
      <w:r w:rsidR="00986790" w:rsidRPr="00BB6C05">
        <w:t>)</w:t>
      </w:r>
      <w:r w:rsidR="00CD2289" w:rsidRPr="00BB6C05">
        <w:t>.</w:t>
      </w:r>
      <w:r w:rsidRPr="00BB6C05">
        <w:rPr>
          <w:i/>
        </w:rPr>
        <w:t xml:space="preserve"> </w:t>
      </w:r>
      <w:r w:rsidRPr="00BB6C05">
        <w:t xml:space="preserve">Assessment </w:t>
      </w:r>
      <w:r w:rsidR="00BC0995" w:rsidRPr="00BB6C05">
        <w:t>was</w:t>
      </w:r>
      <w:r w:rsidRPr="00BB6C05">
        <w:t xml:space="preserve"> viewed as an ongoing process and was emphasized as such in documents from many provinces and territories </w:t>
      </w:r>
      <w:r w:rsidR="00986790" w:rsidRPr="00BB6C05">
        <w:t>emphasizing</w:t>
      </w:r>
      <w:r w:rsidRPr="00BB6C05">
        <w:t xml:space="preserve"> assessment and/or evaluation as a process that should enhance student learning. N</w:t>
      </w:r>
      <w:r w:rsidR="00C51603" w:rsidRPr="00BB6C05">
        <w:t>U</w:t>
      </w:r>
      <w:r w:rsidR="00BC0995" w:rsidRPr="00BB6C05">
        <w:t xml:space="preserve"> articulated</w:t>
      </w:r>
      <w:r w:rsidRPr="00BB6C05">
        <w:t xml:space="preserve"> this simply by stating “assessment should be </w:t>
      </w:r>
      <w:r w:rsidR="004E5B48" w:rsidRPr="00BB6C05">
        <w:t>seen as a process that improves both teaching and learning</w:t>
      </w:r>
      <w:r w:rsidRPr="00BB6C05">
        <w:t>”</w:t>
      </w:r>
      <w:r w:rsidR="0063205F" w:rsidRPr="00BB6C05">
        <w:t xml:space="preserve"> </w:t>
      </w:r>
      <w:r w:rsidR="0063205F" w:rsidRPr="00BB6C05">
        <w:lastRenderedPageBreak/>
        <w:t>(NU</w:t>
      </w:r>
      <w:r w:rsidR="00E943F0" w:rsidRPr="00BB6C05">
        <w:t>1</w:t>
      </w:r>
      <w:r w:rsidR="0063205F" w:rsidRPr="00BB6C05">
        <w:t>,</w:t>
      </w:r>
      <w:r w:rsidR="00E943F0" w:rsidRPr="00BB6C05">
        <w:t xml:space="preserve"> N</w:t>
      </w:r>
      <w:r w:rsidR="003731B5" w:rsidRPr="00BB6C05">
        <w:t>unavut Department of Education,</w:t>
      </w:r>
      <w:r w:rsidR="00E943F0" w:rsidRPr="00BB6C05">
        <w:t xml:space="preserve"> 2008, </w:t>
      </w:r>
      <w:r w:rsidR="00497CE8" w:rsidRPr="00BB6C05">
        <w:t>p. 23</w:t>
      </w:r>
      <w:r w:rsidR="00E943F0" w:rsidRPr="00BB6C05">
        <w:t>).</w:t>
      </w:r>
      <w:r w:rsidR="0063205F" w:rsidRPr="00BB6C05">
        <w:t xml:space="preserve"> </w:t>
      </w:r>
      <w:r w:rsidRPr="00BB6C05">
        <w:t xml:space="preserve"> </w:t>
      </w:r>
      <w:r w:rsidR="00956C7E" w:rsidRPr="00BB6C05">
        <w:t>QC</w:t>
      </w:r>
      <w:r w:rsidR="00BC0995" w:rsidRPr="00BB6C05">
        <w:t xml:space="preserve"> also really emphasized</w:t>
      </w:r>
      <w:r w:rsidRPr="00BB6C05">
        <w:t xml:space="preserve"> the value of evaluation in relation to student learning “Students do not learn in order to be evaluated: they are evaluated so that they can learn more effectively. Evaluation complements all the means used to sup</w:t>
      </w:r>
      <w:r w:rsidR="00956C7E" w:rsidRPr="00BB6C05">
        <w:t>port students in their learning</w:t>
      </w:r>
      <w:r w:rsidRPr="00BB6C05">
        <w:t>”</w:t>
      </w:r>
      <w:r w:rsidR="00956C7E" w:rsidRPr="00BB6C05">
        <w:t xml:space="preserve"> (QC</w:t>
      </w:r>
      <w:r w:rsidR="004F0DA6" w:rsidRPr="00BB6C05">
        <w:t>1, MEQ, 200</w:t>
      </w:r>
      <w:r w:rsidR="00944FE2" w:rsidRPr="00BB6C05">
        <w:t xml:space="preserve">3, p. 4). </w:t>
      </w:r>
      <w:r w:rsidRPr="00BB6C05">
        <w:t xml:space="preserve"> </w:t>
      </w:r>
    </w:p>
    <w:p w14:paraId="2B2AA06E" w14:textId="30DB3B98" w:rsidR="00A17F03" w:rsidRPr="00525D61" w:rsidRDefault="00A17F03" w:rsidP="00801D8B">
      <w:pPr>
        <w:spacing w:line="480" w:lineRule="auto"/>
        <w:contextualSpacing/>
      </w:pPr>
      <w:r w:rsidRPr="00BB6C05">
        <w:tab/>
        <w:t xml:space="preserve">The importance of providing students with feedback was emphasized consistently across Canada. For feedback the emphasis was on providing consistent, descriptive feedback in a timely manner for students. Interestingly, </w:t>
      </w:r>
      <w:r w:rsidR="005307BB" w:rsidRPr="00BB6C05">
        <w:t>MB</w:t>
      </w:r>
      <w:r w:rsidRPr="00BB6C05">
        <w:t xml:space="preserve"> emphasized providing feedback not only for formative tasks but also for summative assessments so that “these summative assessments inform and support future teaching and learning”</w:t>
      </w:r>
      <w:r w:rsidR="00BA4E53" w:rsidRPr="00BB6C05">
        <w:t xml:space="preserve"> (</w:t>
      </w:r>
      <w:r w:rsidR="00C64F60" w:rsidRPr="00BB6C05">
        <w:t xml:space="preserve">MB1, Department of Manitoba Education, Citizenship and Youth, </w:t>
      </w:r>
      <w:r w:rsidR="00D67143" w:rsidRPr="00BB6C05">
        <w:t>2008</w:t>
      </w:r>
      <w:r w:rsidR="00C64F60" w:rsidRPr="00BB6C05">
        <w:t>, p 12</w:t>
      </w:r>
      <w:r w:rsidR="00D67143" w:rsidRPr="00BB6C05">
        <w:t>).</w:t>
      </w:r>
      <w:r w:rsidRPr="00BB6C05">
        <w:t xml:space="preserve"> </w:t>
      </w:r>
      <w:r w:rsidR="00C64F60" w:rsidRPr="00BB6C05">
        <w:t>NS</w:t>
      </w:r>
      <w:r w:rsidRPr="00BB6C05">
        <w:t xml:space="preserve"> and </w:t>
      </w:r>
      <w:r w:rsidR="00C64F60" w:rsidRPr="00BB6C05">
        <w:t>ON</w:t>
      </w:r>
      <w:r w:rsidRPr="00BB6C05">
        <w:t xml:space="preserve"> emphasize</w:t>
      </w:r>
      <w:r w:rsidR="00E76683" w:rsidRPr="00BB6C05">
        <w:t>d</w:t>
      </w:r>
      <w:r w:rsidRPr="00BB6C05">
        <w:t xml:space="preserve"> that feedback for students should identify an individual’s strengths, needs, and directions for improvement</w:t>
      </w:r>
      <w:r w:rsidR="002D4030" w:rsidRPr="00BB6C05">
        <w:t xml:space="preserve"> (NS</w:t>
      </w:r>
      <w:r w:rsidR="0068798D" w:rsidRPr="00BB6C05">
        <w:t>1,</w:t>
      </w:r>
      <w:r w:rsidR="009F1ABE" w:rsidRPr="00BB6C05">
        <w:t xml:space="preserve"> </w:t>
      </w:r>
      <w:r w:rsidR="009F1ABE" w:rsidRPr="00BB6C05">
        <w:rPr>
          <w:lang w:val="en-CA"/>
        </w:rPr>
        <w:t>AVRSB, 2005; ON1, MOE, 2010)</w:t>
      </w:r>
      <w:r w:rsidRPr="00BB6C05">
        <w:t xml:space="preserve">. Complimenting </w:t>
      </w:r>
      <w:r w:rsidR="00DE4E3E" w:rsidRPr="00BB6C05">
        <w:t>feedback</w:t>
      </w:r>
      <w:r w:rsidRPr="00BB6C05">
        <w:t xml:space="preserve"> are reflective and self-assessment components emphasized in some provinces and territo</w:t>
      </w:r>
      <w:r w:rsidRPr="00BB6C05">
        <w:rPr>
          <w:color w:val="000000" w:themeColor="text1"/>
        </w:rPr>
        <w:t xml:space="preserve">ries. </w:t>
      </w:r>
      <w:r w:rsidR="009F1ABE" w:rsidRPr="00BB6C05">
        <w:rPr>
          <w:color w:val="000000" w:themeColor="text1"/>
        </w:rPr>
        <w:t>NU</w:t>
      </w:r>
      <w:r w:rsidRPr="00BB6C05">
        <w:rPr>
          <w:color w:val="000000" w:themeColor="text1"/>
        </w:rPr>
        <w:t>,</w:t>
      </w:r>
      <w:r w:rsidRPr="00F6525E">
        <w:rPr>
          <w:color w:val="000000" w:themeColor="text1"/>
        </w:rPr>
        <w:t xml:space="preserve"> </w:t>
      </w:r>
      <w:r w:rsidR="009F1ABE" w:rsidRPr="00F6525E">
        <w:rPr>
          <w:color w:val="000000" w:themeColor="text1"/>
        </w:rPr>
        <w:t>MB</w:t>
      </w:r>
      <w:r w:rsidRPr="00F6525E">
        <w:rPr>
          <w:color w:val="000000" w:themeColor="text1"/>
        </w:rPr>
        <w:t xml:space="preserve">, </w:t>
      </w:r>
      <w:r w:rsidR="009F1ABE" w:rsidRPr="00F6525E">
        <w:rPr>
          <w:color w:val="000000" w:themeColor="text1"/>
        </w:rPr>
        <w:t>ON</w:t>
      </w:r>
      <w:r w:rsidRPr="00F6525E">
        <w:rPr>
          <w:color w:val="000000" w:themeColor="text1"/>
        </w:rPr>
        <w:t xml:space="preserve">, </w:t>
      </w:r>
      <w:r w:rsidR="009F1ABE" w:rsidRPr="00F6525E">
        <w:rPr>
          <w:color w:val="000000" w:themeColor="text1"/>
        </w:rPr>
        <w:t>NS,</w:t>
      </w:r>
      <w:r w:rsidRPr="00F6525E">
        <w:rPr>
          <w:color w:val="000000" w:themeColor="text1"/>
        </w:rPr>
        <w:t xml:space="preserve"> and </w:t>
      </w:r>
      <w:r w:rsidR="009F1ABE">
        <w:t>PE</w:t>
      </w:r>
      <w:r w:rsidRPr="00525D61">
        <w:t xml:space="preserve"> all indicate</w:t>
      </w:r>
      <w:r w:rsidR="00FF2846">
        <w:t>d</w:t>
      </w:r>
      <w:r w:rsidRPr="00525D61">
        <w:t xml:space="preserve"> that students should have regular and structured opportunities to engage in reflection about their learning. More specifically, </w:t>
      </w:r>
      <w:r w:rsidR="00F6525E">
        <w:t>NS</w:t>
      </w:r>
      <w:r w:rsidR="00FF2846">
        <w:t xml:space="preserve"> really emphasized</w:t>
      </w:r>
      <w:r w:rsidRPr="00525D61">
        <w:t xml:space="preserve"> the use of self-assessment throughout the learning process for students similarly to N</w:t>
      </w:r>
      <w:r w:rsidR="00F6525E">
        <w:t>U</w:t>
      </w:r>
      <w:r w:rsidRPr="00525D61">
        <w:t xml:space="preserve"> stating </w:t>
      </w:r>
      <w:r w:rsidRPr="00DE4E3E">
        <w:t>that “</w:t>
      </w:r>
      <w:r w:rsidRPr="00857632">
        <w:t>if students are to successfully move on to the next stage, it is important to build into the learning environment reflection, self-assessment and correction</w:t>
      </w:r>
      <w:r w:rsidRPr="00DE4E3E">
        <w:t>”</w:t>
      </w:r>
      <w:r w:rsidR="003B57C1" w:rsidRPr="00DE4E3E">
        <w:t xml:space="preserve"> (Nunavut Department of Education, 2000</w:t>
      </w:r>
      <w:r w:rsidR="00C94ED2">
        <w:t>, as cited in MB3, p. viii</w:t>
      </w:r>
      <w:r w:rsidR="003B57C1" w:rsidRPr="00DE4E3E">
        <w:t>).</w:t>
      </w:r>
      <w:r w:rsidR="003B57C1">
        <w:t xml:space="preserve"> </w:t>
      </w:r>
      <w:r w:rsidRPr="00525D61">
        <w:t xml:space="preserve"> </w:t>
      </w:r>
    </w:p>
    <w:p w14:paraId="1D5956EF" w14:textId="4013370E" w:rsidR="00A17F03" w:rsidRPr="00525D61" w:rsidRDefault="00A17F03" w:rsidP="00801D8B">
      <w:pPr>
        <w:spacing w:line="480" w:lineRule="auto"/>
        <w:ind w:firstLine="720"/>
        <w:contextualSpacing/>
      </w:pPr>
      <w:r w:rsidRPr="00525D61">
        <w:t>Many provinces and territories encourage</w:t>
      </w:r>
      <w:r w:rsidR="00FF2846">
        <w:t>d</w:t>
      </w:r>
      <w:r w:rsidRPr="00525D61">
        <w:t xml:space="preserve"> the reporting of learning </w:t>
      </w:r>
      <w:proofErr w:type="spellStart"/>
      <w:r w:rsidRPr="00525D61">
        <w:t>behaviours</w:t>
      </w:r>
      <w:proofErr w:type="spellEnd"/>
      <w:r w:rsidRPr="00525D61">
        <w:t xml:space="preserve"> throughout elementary and secon</w:t>
      </w:r>
      <w:r w:rsidR="00FF2846">
        <w:t xml:space="preserve">dary grades. However, </w:t>
      </w:r>
      <w:r w:rsidR="00870072">
        <w:t xml:space="preserve">learning </w:t>
      </w:r>
      <w:proofErr w:type="spellStart"/>
      <w:r w:rsidR="00870072">
        <w:t>behaviours</w:t>
      </w:r>
      <w:proofErr w:type="spellEnd"/>
      <w:r w:rsidR="00870072">
        <w:t xml:space="preserve"> were not a mandatory component of the reporting process. </w:t>
      </w:r>
      <w:r w:rsidRPr="00525D61">
        <w:t>Although reporting traditionally revolves around student grades and indicating their achievement in relation to learning outcomes and the curriculum, some policies suggest</w:t>
      </w:r>
      <w:r w:rsidR="00870072">
        <w:t>ed</w:t>
      </w:r>
      <w:r w:rsidRPr="00525D61">
        <w:t xml:space="preserve"> that communication about student learning should include </w:t>
      </w:r>
      <w:r w:rsidRPr="00525D61">
        <w:lastRenderedPageBreak/>
        <w:t xml:space="preserve">more than grades. </w:t>
      </w:r>
      <w:r w:rsidR="001B63FF">
        <w:t>MB</w:t>
      </w:r>
      <w:r w:rsidRPr="00525D61">
        <w:t xml:space="preserve">, </w:t>
      </w:r>
      <w:r w:rsidR="001B63FF">
        <w:t>NL</w:t>
      </w:r>
      <w:r w:rsidRPr="00525D61">
        <w:t xml:space="preserve"> and </w:t>
      </w:r>
      <w:r w:rsidR="001B63FF">
        <w:t>NS</w:t>
      </w:r>
      <w:r w:rsidRPr="00525D61">
        <w:t xml:space="preserve"> indicate</w:t>
      </w:r>
      <w:r w:rsidR="00870072">
        <w:t>d</w:t>
      </w:r>
      <w:r w:rsidRPr="00525D61">
        <w:t xml:space="preserve"> explicitly that more results and information should be communicated to parents/guardians rather than only grades. Based upon the reviewed policy documents it seems that grades are only one component of student learning. The grading policies examined across Canada indicate a shift towards a more balanced assessment approach, where summative no longer dominates classroom assessment practices. These documents indicate</w:t>
      </w:r>
      <w:r w:rsidR="004A3083">
        <w:t>d</w:t>
      </w:r>
      <w:r w:rsidRPr="00525D61">
        <w:t xml:space="preserve"> that it is necessary to have formative assessments to inform the development of summative assessments. </w:t>
      </w:r>
    </w:p>
    <w:p w14:paraId="0768D76F" w14:textId="6A392EF7" w:rsidR="00A17F03" w:rsidRPr="00CE1C2D" w:rsidRDefault="00A17F03" w:rsidP="00801D8B">
      <w:pPr>
        <w:spacing w:line="480" w:lineRule="auto"/>
        <w:contextualSpacing/>
      </w:pPr>
      <w:r w:rsidRPr="00525D61">
        <w:tab/>
        <w:t xml:space="preserve">The majority of provinces and territories made it very explicit that grades are to be based upon achievement in relation to learning outcomes/standards and the curriculum. </w:t>
      </w:r>
      <w:r w:rsidR="00FC7436">
        <w:t>MB</w:t>
      </w:r>
      <w:r w:rsidR="00387ACF">
        <w:t>, N</w:t>
      </w:r>
      <w:r w:rsidR="00FC7436">
        <w:t>L</w:t>
      </w:r>
      <w:r w:rsidR="00387ACF">
        <w:t>, Q</w:t>
      </w:r>
      <w:r w:rsidR="00FC7436">
        <w:t>C</w:t>
      </w:r>
      <w:r w:rsidRPr="00525D61">
        <w:t>, O</w:t>
      </w:r>
      <w:r w:rsidR="00FC7436">
        <w:t>N,</w:t>
      </w:r>
      <w:r w:rsidRPr="00525D61">
        <w:t xml:space="preserve"> and </w:t>
      </w:r>
      <w:r w:rsidR="00FC7436">
        <w:t>PE</w:t>
      </w:r>
      <w:r w:rsidRPr="00525D61">
        <w:t xml:space="preserve"> were all very explicit in indicating the composition of grades. Some policy documents emphasized the need for multiple opportunities for students to demonstrate the</w:t>
      </w:r>
      <w:r w:rsidR="004B486E">
        <w:t>ir learning such as those for NL</w:t>
      </w:r>
      <w:r w:rsidRPr="00525D61">
        <w:t>, NS, N</w:t>
      </w:r>
      <w:r w:rsidR="004B486E">
        <w:t>U</w:t>
      </w:r>
      <w:r w:rsidRPr="00525D61">
        <w:t xml:space="preserve">, and </w:t>
      </w:r>
      <w:r w:rsidR="008F4BB5">
        <w:t>N</w:t>
      </w:r>
      <w:r w:rsidR="00827243">
        <w:t>W</w:t>
      </w:r>
      <w:r w:rsidR="008F4BB5">
        <w:t>T</w:t>
      </w:r>
      <w:r w:rsidRPr="00525D61">
        <w:t xml:space="preserve">. Emphasis </w:t>
      </w:r>
      <w:r w:rsidR="004A3083">
        <w:t>was</w:t>
      </w:r>
      <w:r w:rsidRPr="00525D61">
        <w:t xml:space="preserve"> placed on having students demonstrate their learning at some point in time through a variety of assessments so that multiple data are considered when constructing grades. The policies for </w:t>
      </w:r>
      <w:r w:rsidR="004B486E">
        <w:t xml:space="preserve">NL </w:t>
      </w:r>
      <w:r w:rsidRPr="00525D61">
        <w:t>indicate</w:t>
      </w:r>
      <w:r w:rsidR="004A3083">
        <w:t>d</w:t>
      </w:r>
      <w:r w:rsidRPr="00525D61">
        <w:t xml:space="preserve"> that teachers should also provide consistent and frequent opportunities to evaluate student learning. Canadian provinces and territories seem to be moving away from having large-scale assessments dominate reporting of student learning </w:t>
      </w:r>
      <w:r w:rsidRPr="00CE1C2D">
        <w:t xml:space="preserve">at the classroom level. </w:t>
      </w:r>
      <w:r w:rsidR="004B486E" w:rsidRPr="00CE1C2D">
        <w:t>NS</w:t>
      </w:r>
      <w:r w:rsidR="004A3083" w:rsidRPr="00CE1C2D">
        <w:t xml:space="preserve"> clearly indicated</w:t>
      </w:r>
      <w:r w:rsidRPr="00CE1C2D">
        <w:t xml:space="preserve"> this movement through this statement “learning, and the demonstration of that learning, is what’s important – not student performance on a single high-stakes test” (</w:t>
      </w:r>
      <w:r w:rsidR="00C41918" w:rsidRPr="00CE1C2D">
        <w:t>NS1,</w:t>
      </w:r>
      <w:r w:rsidR="006D39C1" w:rsidRPr="00CE1C2D">
        <w:t xml:space="preserve"> </w:t>
      </w:r>
      <w:r w:rsidR="001A6BBC" w:rsidRPr="00CE1C2D">
        <w:rPr>
          <w:lang w:val="en-CA"/>
        </w:rPr>
        <w:t>Annapolis Valley Regional School Board</w:t>
      </w:r>
      <w:r w:rsidR="006D39C1" w:rsidRPr="00CE1C2D">
        <w:t>, p. 8</w:t>
      </w:r>
      <w:r w:rsidRPr="00CE1C2D">
        <w:t>)</w:t>
      </w:r>
      <w:r w:rsidR="006D39C1" w:rsidRPr="00CE1C2D">
        <w:t>.</w:t>
      </w:r>
      <w:r w:rsidRPr="00CE1C2D">
        <w:t xml:space="preserve"> </w:t>
      </w:r>
    </w:p>
    <w:p w14:paraId="08F3E0A6" w14:textId="77777777" w:rsidR="002066DE" w:rsidRPr="00BB560B" w:rsidRDefault="002066DE" w:rsidP="00801D8B">
      <w:pPr>
        <w:spacing w:line="480" w:lineRule="auto"/>
        <w:jc w:val="center"/>
        <w:outlineLvl w:val="0"/>
        <w:rPr>
          <w:b/>
        </w:rPr>
      </w:pPr>
      <w:r w:rsidRPr="00BB560B">
        <w:rPr>
          <w:b/>
        </w:rPr>
        <w:t>Discussion</w:t>
      </w:r>
    </w:p>
    <w:p w14:paraId="54D85855" w14:textId="1D54C446" w:rsidR="006E088E" w:rsidRDefault="002066DE" w:rsidP="00801D8B">
      <w:pPr>
        <w:spacing w:line="480" w:lineRule="auto"/>
        <w:ind w:firstLine="720"/>
      </w:pPr>
      <w:r>
        <w:t xml:space="preserve">Grading is one of the most ubiquitous yet high-stakes practices in education. For hundreds of years, grades have been used as the key metric in decisions about student promotion, admissions, scholarship, and work placements </w:t>
      </w:r>
      <w:r w:rsidR="0042531D" w:rsidRPr="00C96DC8">
        <w:t>(</w:t>
      </w:r>
      <w:r w:rsidR="004A7020" w:rsidRPr="00C96DC8">
        <w:t xml:space="preserve">Atkinson &amp; </w:t>
      </w:r>
      <w:proofErr w:type="spellStart"/>
      <w:r w:rsidR="004A7020" w:rsidRPr="00C96DC8">
        <w:t>Geiser</w:t>
      </w:r>
      <w:proofErr w:type="spellEnd"/>
      <w:r w:rsidR="004A7020" w:rsidRPr="00C96DC8">
        <w:t>, 2009</w:t>
      </w:r>
      <w:r w:rsidR="004A7020" w:rsidRPr="00A54CEA">
        <w:t xml:space="preserve">; Bowers, 2010; </w:t>
      </w:r>
      <w:r w:rsidR="00A55493" w:rsidRPr="00233C66">
        <w:lastRenderedPageBreak/>
        <w:t xml:space="preserve">Pattison, </w:t>
      </w:r>
      <w:proofErr w:type="spellStart"/>
      <w:r w:rsidR="00A55493" w:rsidRPr="00233C66">
        <w:t>Grodsky</w:t>
      </w:r>
      <w:proofErr w:type="spellEnd"/>
      <w:r w:rsidR="00A55493" w:rsidRPr="00233C66">
        <w:t>, &amp; Muller, 2013</w:t>
      </w:r>
      <w:r w:rsidR="004A7020" w:rsidRPr="00233C66">
        <w:t xml:space="preserve">; </w:t>
      </w:r>
      <w:proofErr w:type="spellStart"/>
      <w:r w:rsidR="004A7020" w:rsidRPr="0019432B">
        <w:t>Thorsen</w:t>
      </w:r>
      <w:proofErr w:type="spellEnd"/>
      <w:r w:rsidR="004A7020" w:rsidRPr="0019432B">
        <w:t xml:space="preserve"> &amp; </w:t>
      </w:r>
      <w:proofErr w:type="spellStart"/>
      <w:r w:rsidR="004A7020" w:rsidRPr="0019432B">
        <w:t>Cliffordson</w:t>
      </w:r>
      <w:proofErr w:type="spellEnd"/>
      <w:r w:rsidR="004A7020" w:rsidRPr="0019432B">
        <w:t>, 2012</w:t>
      </w:r>
      <w:r w:rsidRPr="0019432B">
        <w:t>).</w:t>
      </w:r>
      <w:r>
        <w:t xml:space="preserve"> Further, the fun</w:t>
      </w:r>
      <w:r w:rsidR="006E705F">
        <w:t>ction of grades have become even</w:t>
      </w:r>
      <w:r>
        <w:t xml:space="preserve"> more important given the increased rates of student mobility across </w:t>
      </w:r>
      <w:r w:rsidR="00827243">
        <w:t>provincial/territorial education</w:t>
      </w:r>
      <w:r>
        <w:t xml:space="preserve"> systems in Canada, and throughout the world</w:t>
      </w:r>
      <w:r w:rsidRPr="00300882">
        <w:t>.</w:t>
      </w:r>
      <w:r>
        <w:t xml:space="preserve"> Grades have become the primary currency for selection, placement, and admissions processes. While previous research has shed light on variability in teachers’ grading practices, raising significant concerns about the validity and reliability of grade information </w:t>
      </w:r>
      <w:r w:rsidR="00CE2189" w:rsidRPr="004F4C16">
        <w:t>(</w:t>
      </w:r>
      <w:proofErr w:type="spellStart"/>
      <w:r w:rsidR="00CE2189" w:rsidRPr="004F4C16">
        <w:t>Brookhart</w:t>
      </w:r>
      <w:proofErr w:type="spellEnd"/>
      <w:r w:rsidR="00CE2189" w:rsidRPr="004F4C16">
        <w:t>, 1991, 1993</w:t>
      </w:r>
      <w:r w:rsidR="00D23E79" w:rsidRPr="004F4C16">
        <w:t>, 1994</w:t>
      </w:r>
      <w:r w:rsidR="00CE2189" w:rsidRPr="004F4C16">
        <w:t xml:space="preserve">; </w:t>
      </w:r>
      <w:r w:rsidR="00CE2189" w:rsidRPr="00715779">
        <w:t xml:space="preserve">Cross &amp; </w:t>
      </w:r>
      <w:proofErr w:type="spellStart"/>
      <w:r w:rsidR="00CE2189" w:rsidRPr="00715779">
        <w:t>Frary</w:t>
      </w:r>
      <w:proofErr w:type="spellEnd"/>
      <w:r w:rsidR="00CE2189" w:rsidRPr="00715779">
        <w:t>, 1999</w:t>
      </w:r>
      <w:r w:rsidR="00D23E79" w:rsidRPr="00715779">
        <w:t xml:space="preserve">; </w:t>
      </w:r>
      <w:r w:rsidR="00DA09C8">
        <w:t>McMillan, 2008</w:t>
      </w:r>
      <w:r w:rsidRPr="00DA09C8">
        <w:t>),</w:t>
      </w:r>
      <w:r>
        <w:t xml:space="preserve"> few studies have examined cons</w:t>
      </w:r>
      <w:r w:rsidR="00300882">
        <w:t xml:space="preserve">istency within grading </w:t>
      </w:r>
      <w:r w:rsidR="00300882" w:rsidRPr="00300882">
        <w:t>policies</w:t>
      </w:r>
      <w:r w:rsidRPr="00300882">
        <w:t>.</w:t>
      </w:r>
      <w:r>
        <w:t xml:space="preserve"> As grading policies provide guidelines for educators responsible for </w:t>
      </w:r>
      <w:r w:rsidRPr="006E088E">
        <w:t xml:space="preserve">constructing grades, examining the messages about grading embedded within and across policies from </w:t>
      </w:r>
      <w:r w:rsidRPr="00BE2F40">
        <w:t>different educational system</w:t>
      </w:r>
      <w:r w:rsidR="00E464F8" w:rsidRPr="00BE2F40">
        <w:t>s</w:t>
      </w:r>
      <w:r w:rsidRPr="00BE2F40">
        <w:t xml:space="preserve"> is critical. </w:t>
      </w:r>
    </w:p>
    <w:p w14:paraId="0EFDE7F2" w14:textId="5CBCD000" w:rsidR="002066DE" w:rsidRDefault="002066DE" w:rsidP="00801D8B">
      <w:pPr>
        <w:spacing w:line="480" w:lineRule="auto"/>
        <w:ind w:firstLine="720"/>
      </w:pPr>
      <w:r w:rsidRPr="006E088E">
        <w:t>The results of our systematic review of grading policies from across the 13</w:t>
      </w:r>
      <w:r>
        <w:t xml:space="preserve"> provincial/territorial systems of education in Canada point to </w:t>
      </w:r>
      <w:r w:rsidR="00BE2F40">
        <w:t xml:space="preserve">critical </w:t>
      </w:r>
      <w:r>
        <w:t xml:space="preserve">insights into the consistency of grades throughout the country. </w:t>
      </w:r>
      <w:r w:rsidR="00BE2F40">
        <w:t>Key</w:t>
      </w:r>
      <w:r w:rsidR="006E088E">
        <w:t xml:space="preserve"> findings from this review are as follows:</w:t>
      </w:r>
    </w:p>
    <w:p w14:paraId="3589095D" w14:textId="062080C1" w:rsidR="00BE2F40" w:rsidRDefault="006E088E" w:rsidP="00BE2F40">
      <w:pPr>
        <w:pStyle w:val="ListParagraph"/>
        <w:numPr>
          <w:ilvl w:val="0"/>
          <w:numId w:val="3"/>
        </w:numPr>
        <w:spacing w:line="480" w:lineRule="auto"/>
      </w:pPr>
      <w:r>
        <w:t>G</w:t>
      </w:r>
      <w:r w:rsidRPr="00CE1C2D">
        <w:t>rading polices emphasized the use of grades to monitor, report, and communicate student achievement as the primary purposes of grading</w:t>
      </w:r>
    </w:p>
    <w:p w14:paraId="303C9934" w14:textId="77777777" w:rsidR="00BE2F40" w:rsidRDefault="00BE2F40" w:rsidP="00BE2F40">
      <w:pPr>
        <w:pStyle w:val="ListParagraph"/>
        <w:numPr>
          <w:ilvl w:val="0"/>
          <w:numId w:val="3"/>
        </w:numPr>
        <w:spacing w:line="480" w:lineRule="auto"/>
      </w:pPr>
      <w:r>
        <w:t>G</w:t>
      </w:r>
      <w:r w:rsidR="006E088E" w:rsidRPr="00CE1C2D">
        <w:t xml:space="preserve">rading scales are similar </w:t>
      </w:r>
      <w:r>
        <w:t xml:space="preserve">across Canada </w:t>
      </w:r>
      <w:r w:rsidR="006E088E" w:rsidRPr="00CE1C2D">
        <w:t xml:space="preserve">with percentages being used in secondary classrooms and letter </w:t>
      </w:r>
      <w:r>
        <w:t>grades in elementary classrooms</w:t>
      </w:r>
    </w:p>
    <w:p w14:paraId="3200F66D" w14:textId="792B1DBB" w:rsidR="00BE2F40" w:rsidRDefault="00BE2F40" w:rsidP="00BE2F40">
      <w:pPr>
        <w:pStyle w:val="ListParagraph"/>
        <w:numPr>
          <w:ilvl w:val="0"/>
          <w:numId w:val="3"/>
        </w:numPr>
        <w:spacing w:line="480" w:lineRule="auto"/>
      </w:pPr>
      <w:r>
        <w:t>G</w:t>
      </w:r>
      <w:r w:rsidR="006E088E" w:rsidRPr="00CE1C2D">
        <w:t>rades</w:t>
      </w:r>
      <w:r>
        <w:t xml:space="preserve"> consistently</w:t>
      </w:r>
      <w:r w:rsidR="006E088E" w:rsidRPr="00CE1C2D">
        <w:t xml:space="preserve"> included achievement factors with non-achievement factors reported separately</w:t>
      </w:r>
    </w:p>
    <w:p w14:paraId="5ED360A6" w14:textId="383F8DAE" w:rsidR="00BE2F40" w:rsidRDefault="00BE2F40" w:rsidP="00BE2F40">
      <w:pPr>
        <w:pStyle w:val="ListParagraph"/>
        <w:numPr>
          <w:ilvl w:val="0"/>
          <w:numId w:val="3"/>
        </w:numPr>
        <w:spacing w:line="480" w:lineRule="auto"/>
      </w:pPr>
      <w:r>
        <w:t>R</w:t>
      </w:r>
      <w:r w:rsidR="006E088E" w:rsidRPr="00CE1C2D">
        <w:t xml:space="preserve">eporting </w:t>
      </w:r>
      <w:r>
        <w:t>practices</w:t>
      </w:r>
      <w:r w:rsidR="006E088E" w:rsidRPr="00CE1C2D">
        <w:t xml:space="preserve"> tended to be fairly consistent across Canada with the general guideline</w:t>
      </w:r>
      <w:r>
        <w:t>s and template</w:t>
      </w:r>
      <w:r w:rsidR="006E088E" w:rsidRPr="00CE1C2D">
        <w:t xml:space="preserve">s </w:t>
      </w:r>
      <w:r>
        <w:t>generated from ministries of education</w:t>
      </w:r>
    </w:p>
    <w:p w14:paraId="0FADFE37" w14:textId="77777777" w:rsidR="00BE2F40" w:rsidRDefault="00BE2F40" w:rsidP="00BE2F40">
      <w:pPr>
        <w:pStyle w:val="ListParagraph"/>
        <w:numPr>
          <w:ilvl w:val="0"/>
          <w:numId w:val="3"/>
        </w:numPr>
        <w:spacing w:line="480" w:lineRule="auto"/>
      </w:pPr>
      <w:r>
        <w:t>L</w:t>
      </w:r>
      <w:r w:rsidR="006E088E" w:rsidRPr="00CE1C2D">
        <w:t>arge-scale assessments</w:t>
      </w:r>
      <w:r>
        <w:t xml:space="preserve"> contributed variable amounts to students’ </w:t>
      </w:r>
      <w:r w:rsidR="006E088E" w:rsidRPr="00CE1C2D">
        <w:t>final grades</w:t>
      </w:r>
      <w:r>
        <w:t xml:space="preserve"> across the country</w:t>
      </w:r>
      <w:r w:rsidR="006E088E" w:rsidRPr="00CE1C2D">
        <w:t>, with contributions ranging from 10%-50%</w:t>
      </w:r>
    </w:p>
    <w:p w14:paraId="219CAC61" w14:textId="77777777" w:rsidR="00BE2F40" w:rsidRDefault="00BE2F40" w:rsidP="00BE2F40">
      <w:pPr>
        <w:pStyle w:val="ListParagraph"/>
        <w:numPr>
          <w:ilvl w:val="0"/>
          <w:numId w:val="3"/>
        </w:numPr>
        <w:spacing w:line="480" w:lineRule="auto"/>
      </w:pPr>
      <w:r>
        <w:lastRenderedPageBreak/>
        <w:t xml:space="preserve">Significant variation in </w:t>
      </w:r>
      <w:r w:rsidR="006E088E" w:rsidRPr="00CE1C2D">
        <w:t xml:space="preserve">terminology </w:t>
      </w:r>
      <w:r>
        <w:t xml:space="preserve">was evident in grading policies </w:t>
      </w:r>
      <w:r w:rsidR="006E088E" w:rsidRPr="00CE1C2D">
        <w:t>across Canada</w:t>
      </w:r>
      <w:r>
        <w:t xml:space="preserve"> related to the terms:</w:t>
      </w:r>
      <w:r w:rsidR="006E088E" w:rsidRPr="00CE1C2D">
        <w:t xml:space="preserve"> </w:t>
      </w:r>
      <w:r>
        <w:t>formative,</w:t>
      </w:r>
      <w:r w:rsidR="006E088E" w:rsidRPr="00CE1C2D">
        <w:t xml:space="preserve"> </w:t>
      </w:r>
      <w:r>
        <w:t>summative, AOL, AFL, and AAL</w:t>
      </w:r>
    </w:p>
    <w:p w14:paraId="3DB7E5C3" w14:textId="128DC78E" w:rsidR="002066DE" w:rsidRDefault="002066DE" w:rsidP="00BE2F40">
      <w:pPr>
        <w:spacing w:line="480" w:lineRule="auto"/>
        <w:ind w:firstLine="720"/>
      </w:pPr>
      <w:r>
        <w:t>It is evident that there are several consistent messages across provinces and territories in Canada about the purpose and construction of grades. Namely, that the primary functions of grades are to monitor and report on student achievement and to provide feedback to various stakeholders (students, parents, and educators) about student progress toward educational standards. Another fairly consistent message is that grades should primarily reflect students’ learning of academic standards. In many provinces and territories, learning skills and work habits are represented through other reporting methods. Relatedly, the scales used for communicating grades are largely consistent across regions with secondary grades typically reported using percentages and elementary grades typically using letter grades. Finally, there is a consistent commitment to both formative and summative functions of assessment, with the latter reserved primarily for grading purposes. That said, there are mixed messages about the use of formative assessment information in the construction of grades or the influence on teachers’ judgments in grading decisions.</w:t>
      </w:r>
    </w:p>
    <w:p w14:paraId="52F6422E" w14:textId="75C28640" w:rsidR="002066DE" w:rsidRPr="00E93E9B" w:rsidRDefault="002066DE" w:rsidP="00BE2F40">
      <w:pPr>
        <w:spacing w:line="480" w:lineRule="auto"/>
        <w:ind w:firstLine="720"/>
      </w:pPr>
      <w:r>
        <w:t xml:space="preserve">Several inconsistencies were observed across the grading policies reviewed in this study. First, some provinces articulated secondary purposes for grades including accountability and sorting functions. While sorting has been a longstanding function of grades </w:t>
      </w:r>
      <w:r w:rsidR="00700CC2" w:rsidRPr="00EE674A">
        <w:t>(</w:t>
      </w:r>
      <w:proofErr w:type="spellStart"/>
      <w:r w:rsidR="00B574C9" w:rsidRPr="00EE674A">
        <w:t>Brookhart</w:t>
      </w:r>
      <w:proofErr w:type="spellEnd"/>
      <w:r w:rsidR="00B574C9" w:rsidRPr="00EE674A">
        <w:t xml:space="preserve">, 2015; </w:t>
      </w:r>
      <w:r w:rsidR="00032ACF" w:rsidRPr="00EE674A">
        <w:t xml:space="preserve">O’Connor, 2010; </w:t>
      </w:r>
      <w:proofErr w:type="spellStart"/>
      <w:r w:rsidR="00700CC2" w:rsidRPr="00776CE7">
        <w:t>Stiggins</w:t>
      </w:r>
      <w:proofErr w:type="spellEnd"/>
      <w:r w:rsidR="00700CC2" w:rsidRPr="00776CE7">
        <w:t>, 2005</w:t>
      </w:r>
      <w:r w:rsidRPr="00776CE7">
        <w:t>),</w:t>
      </w:r>
      <w:r>
        <w:t xml:space="preserve"> accountability has only emerged as a watchword in education during the past two decades </w:t>
      </w:r>
      <w:r w:rsidRPr="00334BAB">
        <w:t>(</w:t>
      </w:r>
      <w:proofErr w:type="spellStart"/>
      <w:r w:rsidRPr="00334BAB">
        <w:t>Stobart</w:t>
      </w:r>
      <w:proofErr w:type="spellEnd"/>
      <w:r w:rsidRPr="00334BAB">
        <w:t>, 2008).</w:t>
      </w:r>
      <w:r>
        <w:t xml:space="preserve"> As a relatively new construct, it appears that its application across systems of education is inconsistent. Although grading policies do not fully explicate how grades function as accountability measures in select systems, the addition of this secondary purpose requires further investigation, especially in relation to its validity </w:t>
      </w:r>
      <w:r w:rsidRPr="0018263C">
        <w:t>(</w:t>
      </w:r>
      <w:r w:rsidR="00BE1BF3">
        <w:t xml:space="preserve">Author: </w:t>
      </w:r>
      <w:r w:rsidR="00026759" w:rsidRPr="0018263C">
        <w:lastRenderedPageBreak/>
        <w:t>Kane, 2015</w:t>
      </w:r>
      <w:r w:rsidR="009A440F" w:rsidRPr="0018263C">
        <w:t xml:space="preserve">, </w:t>
      </w:r>
      <w:r w:rsidR="009A440F" w:rsidRPr="00251BB0">
        <w:t>2012</w:t>
      </w:r>
      <w:r w:rsidR="00026759" w:rsidRPr="00251BB0">
        <w:t xml:space="preserve">; </w:t>
      </w:r>
      <w:r w:rsidRPr="00910E6D">
        <w:t>Koch</w:t>
      </w:r>
      <w:r w:rsidR="00E07544" w:rsidRPr="00910E6D">
        <w:t xml:space="preserve"> 201</w:t>
      </w:r>
      <w:r w:rsidR="00BE1BF3">
        <w:t>3</w:t>
      </w:r>
      <w:r w:rsidRPr="00910E6D">
        <w:t>).</w:t>
      </w:r>
      <w:r>
        <w:t xml:space="preserve"> This call for additional research follows others who have argued that further studies are needed to fully understand the influence of accountability practices on teaching, learning, and other assessment processes within and across systems of education </w:t>
      </w:r>
      <w:r w:rsidRPr="00DA2B94">
        <w:t>(</w:t>
      </w:r>
      <w:proofErr w:type="spellStart"/>
      <w:r w:rsidR="003C3190" w:rsidRPr="00DA2B94">
        <w:t>Brookhart</w:t>
      </w:r>
      <w:proofErr w:type="spellEnd"/>
      <w:r w:rsidR="003C3190" w:rsidRPr="00DA2B94">
        <w:t xml:space="preserve"> et al., 2016</w:t>
      </w:r>
      <w:r w:rsidR="008879D6" w:rsidRPr="00DA2B94">
        <w:t>; Bowers, 2011</w:t>
      </w:r>
      <w:r w:rsidRPr="00DA2B94">
        <w:t>).</w:t>
      </w:r>
      <w:r>
        <w:t xml:space="preserve"> Second, across Canada, t</w:t>
      </w:r>
      <w:r w:rsidRPr="00525D61">
        <w:t xml:space="preserve">he evidence that contributes to generating student grades is </w:t>
      </w:r>
      <w:r>
        <w:t xml:space="preserve">described </w:t>
      </w:r>
      <w:r w:rsidRPr="00525D61">
        <w:t>differently</w:t>
      </w:r>
      <w:r>
        <w:t xml:space="preserve">. </w:t>
      </w:r>
      <w:r w:rsidR="007C306C">
        <w:t xml:space="preserve">The guidelines for grade construction were fairly consistent across Canada with the general understanding that grades </w:t>
      </w:r>
      <w:r w:rsidR="00852F5F">
        <w:t xml:space="preserve">are based upon achievement factors. It was emphasized that non-achievement factors were still important but should remain separate to grades. </w:t>
      </w:r>
      <w:r w:rsidR="001C1DE3">
        <w:t xml:space="preserve">Some policies suggested ways in which non-achievement factors could be represented in the reporting process. </w:t>
      </w:r>
      <w:r>
        <w:t xml:space="preserve">Large-scale assessments pose another source of invariance within the construction of grades as at the secondary level they contribute varied weights </w:t>
      </w:r>
      <w:r w:rsidRPr="004201F1">
        <w:t>(</w:t>
      </w:r>
      <w:r w:rsidR="004201F1" w:rsidRPr="004201F1">
        <w:t>10%-50%)</w:t>
      </w:r>
      <w:r w:rsidR="004201F1" w:rsidRPr="00525D61">
        <w:t xml:space="preserve"> </w:t>
      </w:r>
      <w:r>
        <w:t xml:space="preserve">to students’ final course grades in select subject areas. Most importantly, across the policies we found very little specific guidance for teachers on how to calculate grades based on a body of evidence. Presumably, these guidelines are offered at more local </w:t>
      </w:r>
      <w:r w:rsidRPr="00962A86">
        <w:t xml:space="preserve">levels </w:t>
      </w:r>
      <w:r w:rsidR="00BD3D3C" w:rsidRPr="00962A86">
        <w:t>(Scott, 1995</w:t>
      </w:r>
      <w:r w:rsidRPr="00962A86">
        <w:t>);</w:t>
      </w:r>
      <w:r w:rsidR="00D4756B">
        <w:t xml:space="preserve"> however, such a practice</w:t>
      </w:r>
      <w:r>
        <w:t xml:space="preserve"> contributes to increased variability across teacher-constructed grades. Finally, there is inconsistent terminology related to diagnostic, formative, and summative assessment as well as assessment for, of, and as learning across educational systems in Canada. While this inconsistency isn’t necessarily problematic, it potentially signals different understandings of assessment processes, as many have argued that these terms are not </w:t>
      </w:r>
      <w:r w:rsidRPr="009C6C5F">
        <w:t>synonymous (</w:t>
      </w:r>
      <w:proofErr w:type="spellStart"/>
      <w:r w:rsidR="009C6C5F" w:rsidRPr="009C6C5F">
        <w:rPr>
          <w:rFonts w:eastAsia="Times New Roman"/>
        </w:rPr>
        <w:t>Swaffield</w:t>
      </w:r>
      <w:proofErr w:type="spellEnd"/>
      <w:r w:rsidR="009C6C5F" w:rsidRPr="009C6C5F">
        <w:rPr>
          <w:rFonts w:eastAsia="Times New Roman"/>
        </w:rPr>
        <w:t>, 2011</w:t>
      </w:r>
      <w:r w:rsidRPr="009C6C5F">
        <w:t>),</w:t>
      </w:r>
      <w:r>
        <w:t xml:space="preserve"> and reflect nuanced differences in how continuous assessment is operationalized in schools. </w:t>
      </w:r>
    </w:p>
    <w:p w14:paraId="4C55BE78" w14:textId="77777777" w:rsidR="002066DE" w:rsidRDefault="002066DE" w:rsidP="00801D8B">
      <w:pPr>
        <w:spacing w:line="480" w:lineRule="auto"/>
        <w:ind w:firstLine="720"/>
      </w:pPr>
      <w:r>
        <w:t xml:space="preserve">These inconsistencies point to significant implications for the comparability of grades across systems of education, especially in relation to accountability and sorting functions. In particular, if grades are constructed differently by teachers based on educational policies, then </w:t>
      </w:r>
      <w:r>
        <w:lastRenderedPageBreak/>
        <w:t>the reliability of the grades for sorting and selection purposes is diminished. The result is that a grade from one region may not mean the same as a grade from another region. This result poses less of a challenge in elementary and early secondary years but becomes a central concern in late secondary when student mobility is high. Hence, while maintaining commitments to the inherent diversity of our educational systems in Canada, there is a need to simultaneously wrestle with mechanisms to ensure comparability of grades when used for accountability, sorting, and selection decisions.</w:t>
      </w:r>
    </w:p>
    <w:p w14:paraId="1078E0AE" w14:textId="2909EBF1" w:rsidR="002066DE" w:rsidRDefault="002066DE" w:rsidP="00801D8B">
      <w:pPr>
        <w:spacing w:line="480" w:lineRule="auto"/>
      </w:pPr>
      <w:r>
        <w:tab/>
        <w:t xml:space="preserve">Finally, a notable finding from this research is that systems of education throughout Canada maintain different terminology for describing classroom assessment purposes. Terminology related to diagnostic, formative, and summative purposes is evident in some provinces while others use assessment </w:t>
      </w:r>
      <w:r w:rsidRPr="00DD64F5">
        <w:rPr>
          <w:i/>
        </w:rPr>
        <w:t>for, of,</w:t>
      </w:r>
      <w:r>
        <w:t xml:space="preserve"> and sometimes </w:t>
      </w:r>
      <w:r w:rsidRPr="00DD64F5">
        <w:rPr>
          <w:i/>
        </w:rPr>
        <w:t>as</w:t>
      </w:r>
      <w:r>
        <w:t xml:space="preserve"> learning. While consistency in terminology is not required, it is worth noting that these various terms could signal the presence of different conceptions of classroom assessment across the country. Arguably, </w:t>
      </w:r>
      <w:r w:rsidR="006E088E">
        <w:t>AFL</w:t>
      </w:r>
      <w:r>
        <w:t xml:space="preserve"> is not the same as early conceptions of formative </w:t>
      </w:r>
      <w:r w:rsidRPr="00300882">
        <w:t>assessment (</w:t>
      </w:r>
      <w:proofErr w:type="spellStart"/>
      <w:r w:rsidR="009C6C5F">
        <w:rPr>
          <w:rFonts w:eastAsia="Times New Roman"/>
        </w:rPr>
        <w:t>Swaffield</w:t>
      </w:r>
      <w:proofErr w:type="spellEnd"/>
      <w:r w:rsidR="009C6C5F">
        <w:rPr>
          <w:rFonts w:eastAsia="Times New Roman"/>
        </w:rPr>
        <w:t>, 2011</w:t>
      </w:r>
      <w:r w:rsidRPr="00300882">
        <w:t>).</w:t>
      </w:r>
      <w:r>
        <w:t xml:space="preserve"> Likewise, </w:t>
      </w:r>
      <w:r w:rsidR="006E088E">
        <w:t>AAL</w:t>
      </w:r>
      <w:r>
        <w:t xml:space="preserve"> represents a fundamentally different concept than formative or diagnostic assessment </w:t>
      </w:r>
      <w:r w:rsidRPr="000A5349">
        <w:t>(</w:t>
      </w:r>
      <w:r w:rsidR="000A5349" w:rsidRPr="000A5349">
        <w:t>Earl, 2013</w:t>
      </w:r>
      <w:r w:rsidRPr="000A5349">
        <w:t>).</w:t>
      </w:r>
      <w:r>
        <w:t xml:space="preserve"> Pursuing a comparative analysis of how these terms are enacted would provide empirical support for understanding their consistency across classroom throughout Canada.  </w:t>
      </w:r>
    </w:p>
    <w:p w14:paraId="085039F2" w14:textId="77777777" w:rsidR="002066DE" w:rsidRDefault="002066DE" w:rsidP="00801D8B">
      <w:pPr>
        <w:spacing w:line="480" w:lineRule="auto"/>
      </w:pPr>
      <w:r>
        <w:tab/>
        <w:t xml:space="preserve">It is imperative to note that the purpose of this study was to analyze explicit grading polices across the 10 provincial and 3 territorial systems in Canada as government grading policies have been shown to be an external driver for teacher practice </w:t>
      </w:r>
      <w:r w:rsidRPr="003F2373">
        <w:t>(</w:t>
      </w:r>
      <w:r w:rsidRPr="003F2373">
        <w:rPr>
          <w:color w:val="000000" w:themeColor="text1"/>
        </w:rPr>
        <w:t>McMillan &amp; Nash, 2000).</w:t>
      </w:r>
      <w:r w:rsidRPr="00387ACF">
        <w:rPr>
          <w:color w:val="000000" w:themeColor="text1"/>
        </w:rPr>
        <w:t xml:space="preserve"> </w:t>
      </w:r>
      <w:r>
        <w:rPr>
          <w:color w:val="000000" w:themeColor="text1"/>
        </w:rPr>
        <w:t>Specifically, how grades a</w:t>
      </w:r>
      <w:r w:rsidRPr="001F7D1E">
        <w:rPr>
          <w:color w:val="000000" w:themeColor="text1"/>
        </w:rPr>
        <w:t xml:space="preserve">re constructed and the values and meaning of grades are, in part, influenced by provincial grading policies (Noonan, 2002; Simon, Tierney, </w:t>
      </w:r>
      <w:proofErr w:type="spellStart"/>
      <w:r w:rsidRPr="001F7D1E">
        <w:rPr>
          <w:color w:val="000000" w:themeColor="text1"/>
        </w:rPr>
        <w:t>Forgette</w:t>
      </w:r>
      <w:proofErr w:type="spellEnd"/>
      <w:r w:rsidRPr="001F7D1E">
        <w:rPr>
          <w:color w:val="000000" w:themeColor="text1"/>
        </w:rPr>
        <w:t xml:space="preserve">-Giroux, Noonan &amp; Duncan, 2008; </w:t>
      </w:r>
      <w:proofErr w:type="spellStart"/>
      <w:r w:rsidRPr="00C63638">
        <w:rPr>
          <w:color w:val="000000" w:themeColor="text1"/>
        </w:rPr>
        <w:t>Stiggins</w:t>
      </w:r>
      <w:proofErr w:type="spellEnd"/>
      <w:r w:rsidRPr="00C63638">
        <w:rPr>
          <w:color w:val="000000" w:themeColor="text1"/>
        </w:rPr>
        <w:t xml:space="preserve"> et al., 1989).</w:t>
      </w:r>
      <w:r w:rsidRPr="00387ACF">
        <w:rPr>
          <w:color w:val="000000" w:themeColor="text1"/>
        </w:rPr>
        <w:t xml:space="preserve"> </w:t>
      </w:r>
      <w:r>
        <w:t xml:space="preserve">That said, this study did not examine, nor can it </w:t>
      </w:r>
      <w:r>
        <w:lastRenderedPageBreak/>
        <w:t>draw conclusions on, the enactment of Canadian grading polices at the classroom level. As articulated above, exploring the enacted practice of grading is the next step for grading research in Canada. Moreover, we assert that rather than retracing previous grading studies that explore the reliability of teachers’ grades across time, students, and contexts, it would be useful to understand how teachers (a) interpret grading policies within their unique work contexts; (b) justify the validity of grading decisions in relation to individual student evidences, background, and needs, (c) actively construct grades that respond to curriculum standards, formative student evidence, and summative assessments; and (d) are influenced by secondary grading purposes including accountability demands and sorting functions.</w:t>
      </w:r>
    </w:p>
    <w:p w14:paraId="162A78B8" w14:textId="1BC1DF08" w:rsidR="009701DA" w:rsidRPr="00431A3F" w:rsidRDefault="002066DE" w:rsidP="00801D8B">
      <w:pPr>
        <w:spacing w:line="480" w:lineRule="auto"/>
      </w:pPr>
      <w:r>
        <w:tab/>
        <w:t xml:space="preserve">Given the longstanding role of grading in education, and the increased use of grades for high-stakes decisions including student mobility, admission, selection, accountability, and report, much more information is needed on the policies and practices that support grading decisions. Through this research, we have added to the Canadian literature base with findings that provide a foundation for subsequent studies. </w:t>
      </w:r>
    </w:p>
    <w:p w14:paraId="1BB346F9" w14:textId="77777777" w:rsidR="00801D8B" w:rsidRDefault="00801D8B">
      <w:pPr>
        <w:rPr>
          <w:b/>
        </w:rPr>
      </w:pPr>
      <w:r>
        <w:rPr>
          <w:b/>
        </w:rPr>
        <w:br w:type="page"/>
      </w:r>
    </w:p>
    <w:p w14:paraId="708B997F" w14:textId="260B5471" w:rsidR="00A17F03" w:rsidRDefault="00E43C3D" w:rsidP="00801D8B">
      <w:pPr>
        <w:spacing w:line="480" w:lineRule="auto"/>
        <w:contextualSpacing/>
        <w:jc w:val="center"/>
        <w:outlineLvl w:val="0"/>
        <w:rPr>
          <w:b/>
        </w:rPr>
      </w:pPr>
      <w:r w:rsidRPr="00E43C3D">
        <w:rPr>
          <w:b/>
        </w:rPr>
        <w:lastRenderedPageBreak/>
        <w:t>References</w:t>
      </w:r>
    </w:p>
    <w:p w14:paraId="2E831391" w14:textId="0B383B11" w:rsidR="003F216B" w:rsidRDefault="003F216B" w:rsidP="00801D8B">
      <w:pPr>
        <w:spacing w:line="480" w:lineRule="auto"/>
        <w:ind w:left="567" w:hanging="567"/>
        <w:rPr>
          <w:color w:val="000000" w:themeColor="text1"/>
        </w:rPr>
      </w:pPr>
      <w:r>
        <w:rPr>
          <w:color w:val="000000" w:themeColor="text1"/>
        </w:rPr>
        <w:t>Author</w:t>
      </w:r>
      <w:bookmarkStart w:id="0" w:name="_GoBack"/>
      <w:bookmarkEnd w:id="0"/>
    </w:p>
    <w:p w14:paraId="75925E4A" w14:textId="073EAA29" w:rsidR="003F216B" w:rsidRDefault="003F216B" w:rsidP="00801D8B">
      <w:pPr>
        <w:spacing w:line="480" w:lineRule="auto"/>
        <w:ind w:left="567" w:hanging="567"/>
        <w:rPr>
          <w:color w:val="000000" w:themeColor="text1"/>
        </w:rPr>
      </w:pPr>
      <w:r>
        <w:rPr>
          <w:color w:val="000000" w:themeColor="text1"/>
        </w:rPr>
        <w:t>Author</w:t>
      </w:r>
    </w:p>
    <w:p w14:paraId="7C774CDF" w14:textId="09AE8B65" w:rsidR="004F531B" w:rsidRDefault="004F531B" w:rsidP="00801D8B">
      <w:pPr>
        <w:spacing w:line="480" w:lineRule="auto"/>
        <w:ind w:left="567" w:hanging="567"/>
        <w:rPr>
          <w:color w:val="000000" w:themeColor="text1"/>
        </w:rPr>
      </w:pPr>
      <w:r w:rsidRPr="004F531B">
        <w:rPr>
          <w:color w:val="000000" w:themeColor="text1"/>
        </w:rPr>
        <w:t xml:space="preserve">Allen, J. D. (2005). Grades as valid measures of academic achievement of classroom learning. </w:t>
      </w:r>
      <w:r w:rsidRPr="00EF31C9">
        <w:rPr>
          <w:i/>
          <w:color w:val="000000" w:themeColor="text1"/>
        </w:rPr>
        <w:t>The Clearing House, 78</w:t>
      </w:r>
      <w:r w:rsidR="005068E6">
        <w:rPr>
          <w:color w:val="000000" w:themeColor="text1"/>
        </w:rPr>
        <w:t>(5), 218–</w:t>
      </w:r>
      <w:r w:rsidRPr="004F531B">
        <w:rPr>
          <w:color w:val="000000" w:themeColor="text1"/>
        </w:rPr>
        <w:t>223.</w:t>
      </w:r>
    </w:p>
    <w:p w14:paraId="6F983334" w14:textId="77777777" w:rsidR="00257ECE" w:rsidRDefault="00257ECE" w:rsidP="00801D8B">
      <w:pPr>
        <w:spacing w:line="480" w:lineRule="auto"/>
        <w:outlineLvl w:val="0"/>
        <w:rPr>
          <w:color w:val="000000" w:themeColor="text1"/>
        </w:rPr>
      </w:pPr>
      <w:proofErr w:type="spellStart"/>
      <w:r w:rsidRPr="00257ECE">
        <w:rPr>
          <w:color w:val="000000" w:themeColor="text1"/>
        </w:rPr>
        <w:t>Arksey</w:t>
      </w:r>
      <w:proofErr w:type="spellEnd"/>
      <w:r w:rsidRPr="00257ECE">
        <w:rPr>
          <w:color w:val="000000" w:themeColor="text1"/>
        </w:rPr>
        <w:t>, H., &amp; O'Malley, L. (2005). Scoping st</w:t>
      </w:r>
      <w:r>
        <w:rPr>
          <w:color w:val="000000" w:themeColor="text1"/>
        </w:rPr>
        <w:t xml:space="preserve">udies: towards a methodological </w:t>
      </w:r>
    </w:p>
    <w:p w14:paraId="2BF28064" w14:textId="3CF13D30" w:rsidR="00257ECE" w:rsidRDefault="00257ECE" w:rsidP="00801D8B">
      <w:pPr>
        <w:spacing w:line="480" w:lineRule="auto"/>
        <w:ind w:firstLine="567"/>
        <w:rPr>
          <w:color w:val="000000" w:themeColor="text1"/>
        </w:rPr>
      </w:pPr>
      <w:r w:rsidRPr="00257ECE">
        <w:rPr>
          <w:color w:val="000000" w:themeColor="text1"/>
        </w:rPr>
        <w:t>framework. </w:t>
      </w:r>
      <w:r w:rsidRPr="00257ECE">
        <w:rPr>
          <w:i/>
          <w:iCs/>
          <w:color w:val="000000" w:themeColor="text1"/>
        </w:rPr>
        <w:t>International journal of social research methodology</w:t>
      </w:r>
      <w:r w:rsidRPr="00257ECE">
        <w:rPr>
          <w:color w:val="000000" w:themeColor="text1"/>
        </w:rPr>
        <w:t>, </w:t>
      </w:r>
      <w:r w:rsidRPr="00257ECE">
        <w:rPr>
          <w:i/>
          <w:iCs/>
          <w:color w:val="000000" w:themeColor="text1"/>
        </w:rPr>
        <w:t>8</w:t>
      </w:r>
      <w:r w:rsidRPr="00257ECE">
        <w:rPr>
          <w:color w:val="000000" w:themeColor="text1"/>
        </w:rPr>
        <w:t>(1), 19-32.</w:t>
      </w:r>
    </w:p>
    <w:p w14:paraId="5A63D537" w14:textId="77777777" w:rsidR="00636563" w:rsidRDefault="00636563" w:rsidP="00801D8B">
      <w:pPr>
        <w:spacing w:line="480" w:lineRule="auto"/>
        <w:rPr>
          <w:color w:val="000000" w:themeColor="text1"/>
        </w:rPr>
      </w:pPr>
      <w:r w:rsidRPr="00636563">
        <w:rPr>
          <w:color w:val="000000" w:themeColor="text1"/>
        </w:rPr>
        <w:t xml:space="preserve">Atkinson, R. C., &amp; </w:t>
      </w:r>
      <w:proofErr w:type="spellStart"/>
      <w:r w:rsidRPr="00636563">
        <w:rPr>
          <w:color w:val="000000" w:themeColor="text1"/>
        </w:rPr>
        <w:t>Geiser</w:t>
      </w:r>
      <w:proofErr w:type="spellEnd"/>
      <w:r w:rsidRPr="00636563">
        <w:rPr>
          <w:color w:val="000000" w:themeColor="text1"/>
        </w:rPr>
        <w:t xml:space="preserve">, S. (2009). Reflections on a century of college admissions tests. </w:t>
      </w:r>
    </w:p>
    <w:p w14:paraId="03694DE6" w14:textId="42F78050" w:rsidR="00636563" w:rsidRPr="00636563" w:rsidRDefault="00636563" w:rsidP="00801D8B">
      <w:pPr>
        <w:spacing w:line="480" w:lineRule="auto"/>
        <w:ind w:firstLine="567"/>
        <w:rPr>
          <w:color w:val="000000" w:themeColor="text1"/>
        </w:rPr>
      </w:pPr>
      <w:r w:rsidRPr="00636563">
        <w:rPr>
          <w:i/>
          <w:color w:val="000000" w:themeColor="text1"/>
        </w:rPr>
        <w:t>Educational Researcher, 38</w:t>
      </w:r>
      <w:r w:rsidRPr="00636563">
        <w:rPr>
          <w:color w:val="000000" w:themeColor="text1"/>
        </w:rPr>
        <w:t>, 665–676. doi:10.3102/0013189x09351981</w:t>
      </w:r>
    </w:p>
    <w:p w14:paraId="761376DB" w14:textId="3CC1813A" w:rsidR="0082055A" w:rsidRDefault="0082055A" w:rsidP="00801D8B">
      <w:pPr>
        <w:spacing w:line="480" w:lineRule="auto"/>
        <w:ind w:left="567" w:hanging="567"/>
        <w:rPr>
          <w:color w:val="000000" w:themeColor="text1"/>
        </w:rPr>
      </w:pPr>
      <w:r w:rsidRPr="0082055A">
        <w:rPr>
          <w:color w:val="000000" w:themeColor="text1"/>
        </w:rPr>
        <w:t xml:space="preserve">Assessment Reform Group. (2002). </w:t>
      </w:r>
      <w:r w:rsidRPr="005068E6">
        <w:rPr>
          <w:i/>
          <w:color w:val="000000" w:themeColor="text1"/>
        </w:rPr>
        <w:t>Assessment for learning: 10 principles</w:t>
      </w:r>
      <w:r w:rsidR="0028771F">
        <w:rPr>
          <w:color w:val="000000" w:themeColor="text1"/>
        </w:rPr>
        <w:t>. Retrieved from http://</w:t>
      </w:r>
      <w:r w:rsidRPr="0082055A">
        <w:rPr>
          <w:color w:val="000000" w:themeColor="text1"/>
        </w:rPr>
        <w:t>assessmentreformgroup.files.wordpress.com/2012/01/10principles_english.pdf</w:t>
      </w:r>
    </w:p>
    <w:p w14:paraId="14A2F0A0" w14:textId="088AB7E4" w:rsidR="00C65315" w:rsidRPr="00C65315" w:rsidRDefault="00C65315" w:rsidP="00C65315">
      <w:pPr>
        <w:spacing w:line="480" w:lineRule="auto"/>
        <w:ind w:left="567" w:hanging="567"/>
        <w:rPr>
          <w:color w:val="000000" w:themeColor="text1"/>
        </w:rPr>
      </w:pPr>
      <w:r w:rsidRPr="00C65315">
        <w:rPr>
          <w:color w:val="000000" w:themeColor="text1"/>
        </w:rPr>
        <w:t xml:space="preserve">Bailey, J., &amp; </w:t>
      </w:r>
      <w:proofErr w:type="spellStart"/>
      <w:r w:rsidRPr="00C65315">
        <w:rPr>
          <w:color w:val="000000" w:themeColor="text1"/>
        </w:rPr>
        <w:t>McTighe</w:t>
      </w:r>
      <w:proofErr w:type="spellEnd"/>
      <w:r w:rsidRPr="00C65315">
        <w:rPr>
          <w:color w:val="000000" w:themeColor="text1"/>
        </w:rPr>
        <w:t>, J. (1996). Reporting achievement at the secondary level: What and how. </w:t>
      </w:r>
      <w:r w:rsidRPr="00C65315">
        <w:rPr>
          <w:i/>
          <w:iCs/>
          <w:color w:val="000000" w:themeColor="text1"/>
        </w:rPr>
        <w:t>Association for supervision and</w:t>
      </w:r>
      <w:r>
        <w:rPr>
          <w:i/>
          <w:iCs/>
          <w:color w:val="000000" w:themeColor="text1"/>
        </w:rPr>
        <w:t xml:space="preserve"> curriculum development-yearbook</w:t>
      </w:r>
      <w:r w:rsidR="0055044C">
        <w:rPr>
          <w:i/>
          <w:iCs/>
          <w:color w:val="000000" w:themeColor="text1"/>
        </w:rPr>
        <w:t>,</w:t>
      </w:r>
      <w:r w:rsidRPr="00C65315">
        <w:rPr>
          <w:color w:val="000000" w:themeColor="text1"/>
        </w:rPr>
        <w:t xml:space="preserve"> 119-140.</w:t>
      </w:r>
    </w:p>
    <w:p w14:paraId="3996CF55" w14:textId="77777777" w:rsidR="005E188B" w:rsidRPr="005E188B" w:rsidRDefault="005E188B" w:rsidP="005E188B">
      <w:pPr>
        <w:spacing w:line="480" w:lineRule="auto"/>
        <w:ind w:left="567" w:hanging="567"/>
        <w:rPr>
          <w:color w:val="000000" w:themeColor="text1"/>
        </w:rPr>
      </w:pPr>
      <w:r w:rsidRPr="005E188B">
        <w:rPr>
          <w:color w:val="000000" w:themeColor="text1"/>
        </w:rPr>
        <w:t>Bennett, R. E. (2011). Formative assessment: A critical review. </w:t>
      </w:r>
      <w:r w:rsidRPr="005E188B">
        <w:rPr>
          <w:i/>
          <w:iCs/>
          <w:color w:val="000000" w:themeColor="text1"/>
        </w:rPr>
        <w:t>Assessment in Education: Principles, Policy &amp; Practice</w:t>
      </w:r>
      <w:r w:rsidRPr="005E188B">
        <w:rPr>
          <w:color w:val="000000" w:themeColor="text1"/>
        </w:rPr>
        <w:t>, </w:t>
      </w:r>
      <w:r w:rsidRPr="005E188B">
        <w:rPr>
          <w:i/>
          <w:iCs/>
          <w:color w:val="000000" w:themeColor="text1"/>
        </w:rPr>
        <w:t>18</w:t>
      </w:r>
      <w:r w:rsidRPr="005E188B">
        <w:rPr>
          <w:color w:val="000000" w:themeColor="text1"/>
        </w:rPr>
        <w:t>(1), 5-25.</w:t>
      </w:r>
    </w:p>
    <w:p w14:paraId="48D23601" w14:textId="3D251F7B" w:rsidR="0009744A" w:rsidRDefault="0009744A" w:rsidP="00801D8B">
      <w:pPr>
        <w:spacing w:line="480" w:lineRule="auto"/>
        <w:ind w:left="567" w:hanging="567"/>
        <w:rPr>
          <w:color w:val="000000" w:themeColor="text1"/>
        </w:rPr>
      </w:pPr>
      <w:r>
        <w:rPr>
          <w:color w:val="000000" w:themeColor="text1"/>
        </w:rPr>
        <w:t xml:space="preserve">Black, P., &amp; </w:t>
      </w:r>
      <w:proofErr w:type="spellStart"/>
      <w:r>
        <w:rPr>
          <w:color w:val="000000" w:themeColor="text1"/>
        </w:rPr>
        <w:t>Wiliam</w:t>
      </w:r>
      <w:proofErr w:type="spellEnd"/>
      <w:r>
        <w:rPr>
          <w:color w:val="000000" w:themeColor="text1"/>
        </w:rPr>
        <w:t>, D. (1998</w:t>
      </w:r>
      <w:r w:rsidRPr="0009744A">
        <w:rPr>
          <w:color w:val="000000" w:themeColor="text1"/>
        </w:rPr>
        <w:t xml:space="preserve">). Assessment and classroom learning. </w:t>
      </w:r>
      <w:r w:rsidRPr="00FD30DC">
        <w:rPr>
          <w:i/>
          <w:color w:val="000000" w:themeColor="text1"/>
        </w:rPr>
        <w:t>Assessment in Education: Principles, Policy and Practice, 5</w:t>
      </w:r>
      <w:r w:rsidRPr="0009744A">
        <w:rPr>
          <w:color w:val="000000" w:themeColor="text1"/>
        </w:rPr>
        <w:t>,</w:t>
      </w:r>
      <w:r w:rsidR="005068E6">
        <w:rPr>
          <w:color w:val="000000" w:themeColor="text1"/>
        </w:rPr>
        <w:t xml:space="preserve"> </w:t>
      </w:r>
      <w:r w:rsidRPr="0009744A">
        <w:rPr>
          <w:color w:val="000000" w:themeColor="text1"/>
        </w:rPr>
        <w:t>7–73. doi:10.1080/0969595980050102</w:t>
      </w:r>
    </w:p>
    <w:p w14:paraId="59049819" w14:textId="77777777" w:rsidR="0019432B" w:rsidRDefault="00A54CEA" w:rsidP="00801D8B">
      <w:pPr>
        <w:spacing w:line="480" w:lineRule="auto"/>
        <w:ind w:left="567" w:hanging="567"/>
        <w:rPr>
          <w:color w:val="000000" w:themeColor="text1"/>
        </w:rPr>
      </w:pPr>
      <w:r>
        <w:rPr>
          <w:color w:val="000000" w:themeColor="text1"/>
        </w:rPr>
        <w:t>Bowers, A. J. (2010</w:t>
      </w:r>
      <w:r w:rsidRPr="00A54CEA">
        <w:rPr>
          <w:color w:val="000000" w:themeColor="text1"/>
        </w:rPr>
        <w:t>). Grades and graduation: A longitu</w:t>
      </w:r>
      <w:r>
        <w:rPr>
          <w:color w:val="000000" w:themeColor="text1"/>
        </w:rPr>
        <w:t xml:space="preserve">dinal risk perspective to identify student </w:t>
      </w:r>
      <w:r w:rsidRPr="00A54CEA">
        <w:rPr>
          <w:color w:val="000000" w:themeColor="text1"/>
        </w:rPr>
        <w:t xml:space="preserve">dropouts. </w:t>
      </w:r>
      <w:r w:rsidRPr="00A54CEA">
        <w:rPr>
          <w:i/>
          <w:color w:val="000000" w:themeColor="text1"/>
        </w:rPr>
        <w:t>Journal of Educational Research, 103</w:t>
      </w:r>
      <w:r>
        <w:rPr>
          <w:color w:val="000000" w:themeColor="text1"/>
        </w:rPr>
        <w:t xml:space="preserve">, 191–207. </w:t>
      </w:r>
      <w:r w:rsidRPr="00A54CEA">
        <w:rPr>
          <w:color w:val="000000" w:themeColor="text1"/>
        </w:rPr>
        <w:t>doi:10.1080/002206709033</w:t>
      </w:r>
    </w:p>
    <w:p w14:paraId="2FA3BB94" w14:textId="204BEE4C" w:rsidR="00A54CEA" w:rsidRDefault="00A54CEA" w:rsidP="00801D8B">
      <w:pPr>
        <w:spacing w:line="480" w:lineRule="auto"/>
        <w:ind w:left="567"/>
        <w:rPr>
          <w:color w:val="000000" w:themeColor="text1"/>
        </w:rPr>
      </w:pPr>
      <w:r w:rsidRPr="00A54CEA">
        <w:rPr>
          <w:color w:val="000000" w:themeColor="text1"/>
        </w:rPr>
        <w:t>82970</w:t>
      </w:r>
    </w:p>
    <w:p w14:paraId="59609B60" w14:textId="77777777" w:rsidR="00DA2B94" w:rsidRDefault="00DA2B94" w:rsidP="00801D8B">
      <w:pPr>
        <w:spacing w:line="480" w:lineRule="auto"/>
        <w:rPr>
          <w:color w:val="000000" w:themeColor="text1"/>
        </w:rPr>
      </w:pPr>
      <w:r w:rsidRPr="00DA2B94">
        <w:rPr>
          <w:color w:val="000000" w:themeColor="text1"/>
        </w:rPr>
        <w:t xml:space="preserve">Bowers, A. J. (2011). What's in a grade? The multidimensional nature of what teacher-assigned </w:t>
      </w:r>
    </w:p>
    <w:p w14:paraId="6BBB6D09" w14:textId="6A3594C7" w:rsidR="00DA2B94" w:rsidRPr="00DA2B94" w:rsidRDefault="00DA2B94" w:rsidP="00801D8B">
      <w:pPr>
        <w:spacing w:line="480" w:lineRule="auto"/>
        <w:ind w:firstLine="567"/>
        <w:rPr>
          <w:color w:val="000000" w:themeColor="text1"/>
        </w:rPr>
      </w:pPr>
      <w:r w:rsidRPr="00DA2B94">
        <w:rPr>
          <w:color w:val="000000" w:themeColor="text1"/>
        </w:rPr>
        <w:t xml:space="preserve">grades assess in high school. </w:t>
      </w:r>
      <w:r w:rsidRPr="00DA2B94">
        <w:rPr>
          <w:i/>
          <w:color w:val="000000" w:themeColor="text1"/>
        </w:rPr>
        <w:t>Educational Research and Evaluation, 17</w:t>
      </w:r>
      <w:r w:rsidRPr="00DA2B94">
        <w:rPr>
          <w:color w:val="000000" w:themeColor="text1"/>
        </w:rPr>
        <w:t>(3), 141-159.</w:t>
      </w:r>
    </w:p>
    <w:p w14:paraId="270E5F82" w14:textId="470C00CE" w:rsidR="00913756" w:rsidRDefault="00913756" w:rsidP="00801D8B">
      <w:pPr>
        <w:spacing w:line="480" w:lineRule="auto"/>
        <w:ind w:left="567" w:hanging="567"/>
        <w:rPr>
          <w:color w:val="000000" w:themeColor="text1"/>
        </w:rPr>
      </w:pPr>
      <w:proofErr w:type="spellStart"/>
      <w:r w:rsidRPr="00913756">
        <w:rPr>
          <w:color w:val="000000" w:themeColor="text1"/>
        </w:rPr>
        <w:lastRenderedPageBreak/>
        <w:t>Brimi</w:t>
      </w:r>
      <w:proofErr w:type="spellEnd"/>
      <w:r w:rsidRPr="00913756">
        <w:rPr>
          <w:color w:val="000000" w:themeColor="text1"/>
        </w:rPr>
        <w:t xml:space="preserve">, H. M. (2011). Reliability of grading high school work in English. </w:t>
      </w:r>
      <w:r w:rsidRPr="005E188B">
        <w:rPr>
          <w:i/>
          <w:color w:val="000000" w:themeColor="text1"/>
        </w:rPr>
        <w:t xml:space="preserve">Practical Assessment, Research &amp; Evaluation, </w:t>
      </w:r>
      <w:r w:rsidRPr="00913756">
        <w:rPr>
          <w:i/>
          <w:color w:val="000000" w:themeColor="text1"/>
        </w:rPr>
        <w:t>16</w:t>
      </w:r>
      <w:r w:rsidR="001718F1">
        <w:rPr>
          <w:color w:val="000000" w:themeColor="text1"/>
        </w:rPr>
        <w:t>(17), Retrieved from</w:t>
      </w:r>
      <w:r w:rsidR="00F9051B">
        <w:rPr>
          <w:color w:val="000000" w:themeColor="text1"/>
        </w:rPr>
        <w:t xml:space="preserve"> </w:t>
      </w:r>
      <w:r w:rsidR="00F9051B" w:rsidRPr="00F9051B">
        <w:rPr>
          <w:color w:val="000000" w:themeColor="text1"/>
        </w:rPr>
        <w:t>http://pareonline.net/getvn.asp</w:t>
      </w:r>
      <w:r w:rsidRPr="00913756">
        <w:rPr>
          <w:color w:val="000000" w:themeColor="text1"/>
        </w:rPr>
        <w:t>?v¼16&amp;n¼</w:t>
      </w:r>
      <w:r w:rsidR="00F9051B">
        <w:rPr>
          <w:color w:val="000000" w:themeColor="text1"/>
        </w:rPr>
        <w:t xml:space="preserve"> </w:t>
      </w:r>
      <w:r w:rsidRPr="00913756">
        <w:rPr>
          <w:color w:val="000000" w:themeColor="text1"/>
        </w:rPr>
        <w:t>17</w:t>
      </w:r>
      <w:r w:rsidR="00F9051B">
        <w:rPr>
          <w:color w:val="000000" w:themeColor="text1"/>
        </w:rPr>
        <w:t>.</w:t>
      </w:r>
    </w:p>
    <w:p w14:paraId="285B694A" w14:textId="61C1267B" w:rsidR="004F4C16" w:rsidRDefault="004F4C16" w:rsidP="00801D8B">
      <w:pPr>
        <w:spacing w:line="480" w:lineRule="auto"/>
        <w:ind w:left="567" w:hanging="567"/>
        <w:rPr>
          <w:color w:val="000000" w:themeColor="text1"/>
        </w:rPr>
      </w:pPr>
      <w:proofErr w:type="spellStart"/>
      <w:r w:rsidRPr="004F4C16">
        <w:rPr>
          <w:color w:val="000000" w:themeColor="text1"/>
        </w:rPr>
        <w:t>Brookhart</w:t>
      </w:r>
      <w:proofErr w:type="spellEnd"/>
      <w:r w:rsidRPr="004F4C16">
        <w:rPr>
          <w:color w:val="000000" w:themeColor="text1"/>
        </w:rPr>
        <w:t xml:space="preserve">, S. M. (1991). Grading practices and validity. </w:t>
      </w:r>
      <w:r w:rsidRPr="004F4C16">
        <w:rPr>
          <w:i/>
          <w:color w:val="000000" w:themeColor="text1"/>
        </w:rPr>
        <w:t>Educational Measurement: Issues and Practice, 10(</w:t>
      </w:r>
      <w:r w:rsidRPr="004F4C16">
        <w:rPr>
          <w:color w:val="000000" w:themeColor="text1"/>
        </w:rPr>
        <w:t>1), 35–36. doi:10.1111/j.1745-3992.1991.tb00182.x</w:t>
      </w:r>
    </w:p>
    <w:p w14:paraId="5832629E" w14:textId="22916F90" w:rsidR="003F5F08" w:rsidRDefault="003F5F08" w:rsidP="00801D8B">
      <w:pPr>
        <w:spacing w:line="480" w:lineRule="auto"/>
        <w:ind w:left="567" w:hanging="567"/>
        <w:rPr>
          <w:color w:val="000000" w:themeColor="text1"/>
        </w:rPr>
      </w:pPr>
      <w:proofErr w:type="spellStart"/>
      <w:r w:rsidRPr="003F5F08">
        <w:rPr>
          <w:color w:val="000000" w:themeColor="text1"/>
        </w:rPr>
        <w:t>Brookhart</w:t>
      </w:r>
      <w:proofErr w:type="spellEnd"/>
      <w:r w:rsidRPr="003F5F08">
        <w:rPr>
          <w:color w:val="000000" w:themeColor="text1"/>
        </w:rPr>
        <w:t xml:space="preserve">, S. M. (1993). Teachers’ </w:t>
      </w:r>
      <w:r w:rsidR="005068E6">
        <w:rPr>
          <w:color w:val="000000" w:themeColor="text1"/>
        </w:rPr>
        <w:t>g</w:t>
      </w:r>
      <w:r w:rsidRPr="003F5F08">
        <w:rPr>
          <w:color w:val="000000" w:themeColor="text1"/>
        </w:rPr>
        <w:t xml:space="preserve">rading </w:t>
      </w:r>
      <w:r w:rsidR="005068E6">
        <w:rPr>
          <w:color w:val="000000" w:themeColor="text1"/>
        </w:rPr>
        <w:t>p</w:t>
      </w:r>
      <w:r w:rsidRPr="003F5F08">
        <w:rPr>
          <w:color w:val="000000" w:themeColor="text1"/>
        </w:rPr>
        <w:t xml:space="preserve">ractices: Meaning and </w:t>
      </w:r>
      <w:r w:rsidR="005068E6">
        <w:rPr>
          <w:color w:val="000000" w:themeColor="text1"/>
        </w:rPr>
        <w:t>v</w:t>
      </w:r>
      <w:r w:rsidRPr="003F5F08">
        <w:rPr>
          <w:color w:val="000000" w:themeColor="text1"/>
        </w:rPr>
        <w:t xml:space="preserve">alues. </w:t>
      </w:r>
      <w:r w:rsidRPr="003F5F08">
        <w:rPr>
          <w:i/>
          <w:color w:val="000000" w:themeColor="text1"/>
        </w:rPr>
        <w:t>Journal of Educational Measurement, 30</w:t>
      </w:r>
      <w:r w:rsidRPr="003F5F08">
        <w:rPr>
          <w:color w:val="000000" w:themeColor="text1"/>
        </w:rPr>
        <w:t>(2), 123-142.</w:t>
      </w:r>
    </w:p>
    <w:p w14:paraId="518EDA10" w14:textId="77078D55" w:rsidR="004F4C16" w:rsidRDefault="004F4C16" w:rsidP="00801D8B">
      <w:pPr>
        <w:spacing w:line="480" w:lineRule="auto"/>
        <w:ind w:left="567" w:hanging="567"/>
        <w:rPr>
          <w:color w:val="000000" w:themeColor="text1"/>
        </w:rPr>
      </w:pPr>
      <w:proofErr w:type="spellStart"/>
      <w:r w:rsidRPr="004F4C16">
        <w:rPr>
          <w:color w:val="000000" w:themeColor="text1"/>
        </w:rPr>
        <w:t>Brookhart</w:t>
      </w:r>
      <w:proofErr w:type="spellEnd"/>
      <w:r w:rsidRPr="004F4C16">
        <w:rPr>
          <w:color w:val="000000" w:themeColor="text1"/>
        </w:rPr>
        <w:t xml:space="preserve">, S. M. (1994). Teachers’ grading: Practice and theory. </w:t>
      </w:r>
      <w:r w:rsidRPr="004F4C16">
        <w:rPr>
          <w:i/>
          <w:color w:val="000000" w:themeColor="text1"/>
        </w:rPr>
        <w:t>Applied Measurement in Education, 7</w:t>
      </w:r>
      <w:r w:rsidRPr="004F4C16">
        <w:rPr>
          <w:color w:val="000000" w:themeColor="text1"/>
        </w:rPr>
        <w:t xml:space="preserve">, 279–301. doi:10.1207/s15324818ame0704_2 </w:t>
      </w:r>
    </w:p>
    <w:p w14:paraId="696A26C7" w14:textId="2C132129" w:rsidR="00536548" w:rsidRDefault="00536548" w:rsidP="00801D8B">
      <w:pPr>
        <w:spacing w:line="480" w:lineRule="auto"/>
        <w:ind w:left="567" w:hanging="567"/>
        <w:rPr>
          <w:color w:val="000000" w:themeColor="text1"/>
        </w:rPr>
      </w:pPr>
      <w:proofErr w:type="spellStart"/>
      <w:r w:rsidRPr="00536548">
        <w:rPr>
          <w:color w:val="000000" w:themeColor="text1"/>
        </w:rPr>
        <w:t>Brookhart</w:t>
      </w:r>
      <w:proofErr w:type="spellEnd"/>
      <w:r w:rsidRPr="00536548">
        <w:rPr>
          <w:color w:val="000000" w:themeColor="text1"/>
        </w:rPr>
        <w:t>, S.</w:t>
      </w:r>
      <w:r w:rsidR="00801D8B">
        <w:rPr>
          <w:color w:val="000000" w:themeColor="text1"/>
        </w:rPr>
        <w:t xml:space="preserve"> </w:t>
      </w:r>
      <w:r w:rsidRPr="00536548">
        <w:rPr>
          <w:color w:val="000000" w:themeColor="text1"/>
        </w:rPr>
        <w:t xml:space="preserve">M. </w:t>
      </w:r>
      <w:r w:rsidR="00801D8B">
        <w:rPr>
          <w:color w:val="000000" w:themeColor="text1"/>
        </w:rPr>
        <w:t>(</w:t>
      </w:r>
      <w:r w:rsidRPr="00536548">
        <w:rPr>
          <w:color w:val="000000" w:themeColor="text1"/>
        </w:rPr>
        <w:t>2001</w:t>
      </w:r>
      <w:r w:rsidR="00801D8B">
        <w:rPr>
          <w:color w:val="000000" w:themeColor="text1"/>
        </w:rPr>
        <w:t>)</w:t>
      </w:r>
      <w:r w:rsidRPr="00536548">
        <w:rPr>
          <w:color w:val="000000" w:themeColor="text1"/>
        </w:rPr>
        <w:t xml:space="preserve">. Successful students’ formative and summative uses of assessment information. </w:t>
      </w:r>
      <w:r w:rsidRPr="00801D8B">
        <w:rPr>
          <w:i/>
          <w:color w:val="000000" w:themeColor="text1"/>
        </w:rPr>
        <w:t>Assessment in Education</w:t>
      </w:r>
      <w:r w:rsidR="00801D8B">
        <w:rPr>
          <w:i/>
          <w:color w:val="000000" w:themeColor="text1"/>
        </w:rPr>
        <w:t xml:space="preserve">: Principles, Policy &amp; Practice, </w:t>
      </w:r>
      <w:r w:rsidRPr="00801D8B">
        <w:rPr>
          <w:i/>
          <w:color w:val="000000" w:themeColor="text1"/>
        </w:rPr>
        <w:t>8</w:t>
      </w:r>
      <w:r w:rsidR="00801D8B" w:rsidRPr="00801D8B">
        <w:rPr>
          <w:color w:val="000000" w:themeColor="text1"/>
        </w:rPr>
        <w:t>(</w:t>
      </w:r>
      <w:r w:rsidRPr="00801D8B">
        <w:rPr>
          <w:color w:val="000000" w:themeColor="text1"/>
        </w:rPr>
        <w:t>2</w:t>
      </w:r>
      <w:r w:rsidR="00801D8B" w:rsidRPr="00801D8B">
        <w:rPr>
          <w:color w:val="000000" w:themeColor="text1"/>
        </w:rPr>
        <w:t>),</w:t>
      </w:r>
      <w:r w:rsidRPr="00536548">
        <w:rPr>
          <w:color w:val="000000" w:themeColor="text1"/>
        </w:rPr>
        <w:t xml:space="preserve"> 153–69.</w:t>
      </w:r>
    </w:p>
    <w:p w14:paraId="3D2F85E5" w14:textId="65EDEE76" w:rsidR="00982B67" w:rsidRDefault="00982B67" w:rsidP="00801D8B">
      <w:pPr>
        <w:spacing w:line="480" w:lineRule="auto"/>
        <w:ind w:left="567" w:hanging="567"/>
        <w:rPr>
          <w:color w:val="000000" w:themeColor="text1"/>
        </w:rPr>
      </w:pPr>
      <w:proofErr w:type="spellStart"/>
      <w:r w:rsidRPr="007527BC">
        <w:rPr>
          <w:color w:val="000000" w:themeColor="text1"/>
        </w:rPr>
        <w:t>Brookhart</w:t>
      </w:r>
      <w:proofErr w:type="spellEnd"/>
      <w:r w:rsidRPr="007527BC">
        <w:rPr>
          <w:color w:val="000000" w:themeColor="text1"/>
        </w:rPr>
        <w:t xml:space="preserve">, S. M. (2003). Developing measurement theory for classroom assessment purposes and uses. </w:t>
      </w:r>
      <w:r w:rsidRPr="007527BC">
        <w:rPr>
          <w:i/>
          <w:iCs/>
          <w:color w:val="000000" w:themeColor="text1"/>
        </w:rPr>
        <w:t xml:space="preserve">Educational Measurement: Issues and Practice, </w:t>
      </w:r>
      <w:r w:rsidRPr="007527BC">
        <w:rPr>
          <w:i/>
          <w:color w:val="000000" w:themeColor="text1"/>
        </w:rPr>
        <w:t>22</w:t>
      </w:r>
      <w:r w:rsidRPr="007527BC">
        <w:rPr>
          <w:color w:val="000000" w:themeColor="text1"/>
        </w:rPr>
        <w:t>(4), 5–12.</w:t>
      </w:r>
    </w:p>
    <w:p w14:paraId="52E7994A" w14:textId="63C46C9A" w:rsidR="00982B67" w:rsidRDefault="00982B67" w:rsidP="00801D8B">
      <w:pPr>
        <w:spacing w:line="480" w:lineRule="auto"/>
        <w:ind w:left="567" w:hanging="567"/>
        <w:rPr>
          <w:color w:val="000000" w:themeColor="text1"/>
        </w:rPr>
      </w:pPr>
      <w:proofErr w:type="spellStart"/>
      <w:r w:rsidRPr="007527BC">
        <w:rPr>
          <w:color w:val="000000" w:themeColor="text1"/>
        </w:rPr>
        <w:t>Brookhart</w:t>
      </w:r>
      <w:proofErr w:type="spellEnd"/>
      <w:r w:rsidRPr="007527BC">
        <w:rPr>
          <w:color w:val="000000" w:themeColor="text1"/>
        </w:rPr>
        <w:t xml:space="preserve">, S. M. (2013). Grading. In J. H. McMillan (Ed.), </w:t>
      </w:r>
      <w:r w:rsidRPr="007527BC">
        <w:rPr>
          <w:i/>
          <w:color w:val="000000" w:themeColor="text1"/>
        </w:rPr>
        <w:t xml:space="preserve">Research on </w:t>
      </w:r>
      <w:r w:rsidR="005068E6">
        <w:rPr>
          <w:i/>
          <w:color w:val="000000" w:themeColor="text1"/>
        </w:rPr>
        <w:t>C</w:t>
      </w:r>
      <w:r w:rsidRPr="007527BC">
        <w:rPr>
          <w:i/>
          <w:color w:val="000000" w:themeColor="text1"/>
        </w:rPr>
        <w:t xml:space="preserve">lassroom </w:t>
      </w:r>
      <w:r w:rsidR="005068E6">
        <w:rPr>
          <w:i/>
          <w:color w:val="000000" w:themeColor="text1"/>
        </w:rPr>
        <w:t>A</w:t>
      </w:r>
      <w:r w:rsidR="005068E6" w:rsidRPr="007527BC">
        <w:rPr>
          <w:i/>
          <w:color w:val="000000" w:themeColor="text1"/>
        </w:rPr>
        <w:t xml:space="preserve">ssessment </w:t>
      </w:r>
      <w:r w:rsidRPr="007527BC">
        <w:rPr>
          <w:color w:val="000000" w:themeColor="text1"/>
        </w:rPr>
        <w:t>(pp. 257–272). Los Angeles, CA: Sage.</w:t>
      </w:r>
    </w:p>
    <w:p w14:paraId="2C73BADC" w14:textId="5178C9EC" w:rsidR="003B7C47" w:rsidRDefault="003B7C47" w:rsidP="00801D8B">
      <w:pPr>
        <w:spacing w:line="480" w:lineRule="auto"/>
        <w:ind w:left="567" w:hanging="567"/>
        <w:rPr>
          <w:color w:val="000000" w:themeColor="text1"/>
        </w:rPr>
      </w:pPr>
      <w:proofErr w:type="spellStart"/>
      <w:r w:rsidRPr="003B7C47">
        <w:rPr>
          <w:color w:val="000000" w:themeColor="text1"/>
        </w:rPr>
        <w:t>Brookhart</w:t>
      </w:r>
      <w:proofErr w:type="spellEnd"/>
      <w:r w:rsidRPr="003B7C47">
        <w:rPr>
          <w:color w:val="000000" w:themeColor="text1"/>
        </w:rPr>
        <w:t>, S. M. (2015). Graded achievement, tested achievement, and validity.</w:t>
      </w:r>
      <w:r w:rsidRPr="003B7C47">
        <w:rPr>
          <w:i/>
          <w:iCs/>
          <w:color w:val="000000" w:themeColor="text1"/>
        </w:rPr>
        <w:t> Educational Assessment, 20</w:t>
      </w:r>
      <w:r w:rsidRPr="003B7C47">
        <w:rPr>
          <w:color w:val="000000" w:themeColor="text1"/>
        </w:rPr>
        <w:t>(4), 268-296. doi:10.1080/10627197.2015.1093928</w:t>
      </w:r>
    </w:p>
    <w:p w14:paraId="4A88332E" w14:textId="71638EF5" w:rsidR="00A6435C" w:rsidRPr="00A6435C" w:rsidRDefault="00A6435C" w:rsidP="00801D8B">
      <w:pPr>
        <w:pStyle w:val="NormalWeb"/>
        <w:spacing w:before="0" w:beforeAutospacing="0" w:after="0" w:afterAutospacing="0" w:line="480" w:lineRule="auto"/>
        <w:ind w:left="480" w:hanging="480"/>
      </w:pPr>
      <w:proofErr w:type="spellStart"/>
      <w:r>
        <w:t>Brookhart</w:t>
      </w:r>
      <w:proofErr w:type="spellEnd"/>
      <w:r>
        <w:t xml:space="preserve">, S. M., </w:t>
      </w:r>
      <w:proofErr w:type="spellStart"/>
      <w:r>
        <w:t>Guskey</w:t>
      </w:r>
      <w:proofErr w:type="spellEnd"/>
      <w:r>
        <w:t xml:space="preserve">, T. R., Bowers, A. J., McMillan, J. H., Smith, J. K., Smith, L. F., … Welsh, M. E. (2016). A </w:t>
      </w:r>
      <w:r w:rsidR="005068E6">
        <w:t>c</w:t>
      </w:r>
      <w:r>
        <w:t xml:space="preserve">entury of </w:t>
      </w:r>
      <w:r w:rsidR="005068E6">
        <w:t>g</w:t>
      </w:r>
      <w:r>
        <w:t xml:space="preserve">rading </w:t>
      </w:r>
      <w:r w:rsidR="005068E6">
        <w:t>r</w:t>
      </w:r>
      <w:r>
        <w:t xml:space="preserve">esearch: </w:t>
      </w:r>
      <w:r w:rsidR="005068E6">
        <w:t>m</w:t>
      </w:r>
      <w:r>
        <w:t xml:space="preserve">eaning and </w:t>
      </w:r>
      <w:r w:rsidR="005068E6">
        <w:t>v</w:t>
      </w:r>
      <w:r>
        <w:t xml:space="preserve">alue in the </w:t>
      </w:r>
      <w:r w:rsidR="005068E6">
        <w:t>m</w:t>
      </w:r>
      <w:r>
        <w:t xml:space="preserve">ost </w:t>
      </w:r>
      <w:r w:rsidR="005068E6">
        <w:t>c</w:t>
      </w:r>
      <w:r>
        <w:t xml:space="preserve">ommon </w:t>
      </w:r>
      <w:r w:rsidR="005068E6">
        <w:t>e</w:t>
      </w:r>
      <w:r>
        <w:t xml:space="preserve">ducational </w:t>
      </w:r>
      <w:r w:rsidR="005068E6">
        <w:t>m</w:t>
      </w:r>
      <w:r>
        <w:t xml:space="preserve">easure. </w:t>
      </w:r>
      <w:r>
        <w:rPr>
          <w:i/>
          <w:iCs/>
        </w:rPr>
        <w:t>Review of Educational Research</w:t>
      </w:r>
      <w:r>
        <w:t xml:space="preserve">, </w:t>
      </w:r>
      <w:r w:rsidR="00756114">
        <w:rPr>
          <w:i/>
          <w:iCs/>
        </w:rPr>
        <w:t>86</w:t>
      </w:r>
      <w:r w:rsidR="00756114">
        <w:t xml:space="preserve">, 803-848. </w:t>
      </w:r>
      <w:r>
        <w:t>http://doi.org/10.3102/0034654316672069</w:t>
      </w:r>
    </w:p>
    <w:p w14:paraId="4626BB87" w14:textId="14C9F766" w:rsidR="00715779" w:rsidRDefault="00715779" w:rsidP="00801D8B">
      <w:pPr>
        <w:spacing w:line="480" w:lineRule="auto"/>
        <w:ind w:left="567" w:hanging="567"/>
        <w:rPr>
          <w:color w:val="000000" w:themeColor="text1"/>
        </w:rPr>
      </w:pPr>
      <w:r w:rsidRPr="00715779">
        <w:rPr>
          <w:color w:val="000000" w:themeColor="text1"/>
        </w:rPr>
        <w:t xml:space="preserve">Cross, L. H., &amp; </w:t>
      </w:r>
      <w:proofErr w:type="spellStart"/>
      <w:r w:rsidRPr="00715779">
        <w:rPr>
          <w:color w:val="000000" w:themeColor="text1"/>
        </w:rPr>
        <w:t>Frary</w:t>
      </w:r>
      <w:proofErr w:type="spellEnd"/>
      <w:r w:rsidRPr="00715779">
        <w:rPr>
          <w:color w:val="000000" w:themeColor="text1"/>
        </w:rPr>
        <w:t xml:space="preserve">, R. B. (1999). Hodgepodge grading: Endorsed by students and teachers alike. </w:t>
      </w:r>
      <w:r w:rsidRPr="00715779">
        <w:rPr>
          <w:i/>
          <w:color w:val="000000" w:themeColor="text1"/>
        </w:rPr>
        <w:t>Applied Measurement in Education, 12</w:t>
      </w:r>
      <w:r w:rsidRPr="00715779">
        <w:rPr>
          <w:color w:val="000000" w:themeColor="text1"/>
        </w:rPr>
        <w:t>, 53–72.doi:10.1207/ s15324818ame1201_4</w:t>
      </w:r>
    </w:p>
    <w:p w14:paraId="685AFE4F" w14:textId="77777777" w:rsidR="009D2965" w:rsidRDefault="00537688" w:rsidP="00801D8B">
      <w:pPr>
        <w:widowControl w:val="0"/>
        <w:autoSpaceDE w:val="0"/>
        <w:autoSpaceDN w:val="0"/>
        <w:adjustRightInd w:val="0"/>
        <w:spacing w:after="240" w:line="480" w:lineRule="auto"/>
        <w:contextualSpacing/>
        <w:outlineLvl w:val="0"/>
        <w:rPr>
          <w:i/>
          <w:iCs/>
        </w:rPr>
      </w:pPr>
      <w:r w:rsidRPr="00A570A4">
        <w:lastRenderedPageBreak/>
        <w:t xml:space="preserve">Earl, L. M. (2013). </w:t>
      </w:r>
      <w:r w:rsidRPr="00A570A4">
        <w:rPr>
          <w:i/>
          <w:iCs/>
        </w:rPr>
        <w:t xml:space="preserve">Assessment as learning: Using classroom assessment to maximize </w:t>
      </w:r>
      <w:r w:rsidR="009D2965">
        <w:rPr>
          <w:i/>
          <w:iCs/>
        </w:rPr>
        <w:t xml:space="preserve">student    </w:t>
      </w:r>
    </w:p>
    <w:p w14:paraId="517D65EB" w14:textId="0995B101" w:rsidR="00537688" w:rsidRPr="00537688" w:rsidRDefault="00537688" w:rsidP="00801D8B">
      <w:pPr>
        <w:widowControl w:val="0"/>
        <w:autoSpaceDE w:val="0"/>
        <w:autoSpaceDN w:val="0"/>
        <w:adjustRightInd w:val="0"/>
        <w:spacing w:after="240" w:line="480" w:lineRule="auto"/>
        <w:ind w:left="567"/>
        <w:contextualSpacing/>
        <w:rPr>
          <w:i/>
          <w:iCs/>
        </w:rPr>
      </w:pPr>
      <w:r w:rsidRPr="00A570A4">
        <w:rPr>
          <w:i/>
          <w:iCs/>
        </w:rPr>
        <w:t>learning</w:t>
      </w:r>
      <w:r w:rsidRPr="00A570A4">
        <w:t xml:space="preserve">. Thousand Oaks, </w:t>
      </w:r>
      <w:r w:rsidR="005068E6">
        <w:t>CA</w:t>
      </w:r>
      <w:r w:rsidRPr="00A570A4">
        <w:t>: Corwin.</w:t>
      </w:r>
    </w:p>
    <w:p w14:paraId="69AC71FE" w14:textId="77777777" w:rsidR="005369A8" w:rsidRDefault="005369A8" w:rsidP="00801D8B">
      <w:pPr>
        <w:spacing w:line="480" w:lineRule="auto"/>
        <w:outlineLvl w:val="0"/>
        <w:rPr>
          <w:color w:val="000000" w:themeColor="text1"/>
        </w:rPr>
      </w:pPr>
      <w:r w:rsidRPr="005369A8">
        <w:rPr>
          <w:color w:val="000000" w:themeColor="text1"/>
        </w:rPr>
        <w:t xml:space="preserve">Friedman, S. J., &amp; </w:t>
      </w:r>
      <w:proofErr w:type="spellStart"/>
      <w:r w:rsidRPr="005369A8">
        <w:rPr>
          <w:color w:val="000000" w:themeColor="text1"/>
        </w:rPr>
        <w:t>Frisbie</w:t>
      </w:r>
      <w:proofErr w:type="spellEnd"/>
      <w:r w:rsidRPr="005369A8">
        <w:rPr>
          <w:color w:val="000000" w:themeColor="text1"/>
        </w:rPr>
        <w:t xml:space="preserve">, D. A. (1995). The influence of report cards on the validity of grades </w:t>
      </w:r>
    </w:p>
    <w:p w14:paraId="06B999A4" w14:textId="179E1F34" w:rsidR="005369A8" w:rsidRPr="005369A8" w:rsidRDefault="005369A8" w:rsidP="00801D8B">
      <w:pPr>
        <w:spacing w:line="480" w:lineRule="auto"/>
        <w:ind w:firstLine="567"/>
        <w:rPr>
          <w:color w:val="000000" w:themeColor="text1"/>
        </w:rPr>
      </w:pPr>
      <w:r w:rsidRPr="005369A8">
        <w:rPr>
          <w:color w:val="000000" w:themeColor="text1"/>
        </w:rPr>
        <w:t>reported to parents. </w:t>
      </w:r>
      <w:r w:rsidRPr="005369A8">
        <w:rPr>
          <w:i/>
          <w:iCs/>
          <w:color w:val="000000" w:themeColor="text1"/>
        </w:rPr>
        <w:t>Educational and Psychological Measurement</w:t>
      </w:r>
      <w:r w:rsidRPr="005369A8">
        <w:rPr>
          <w:color w:val="000000" w:themeColor="text1"/>
        </w:rPr>
        <w:t>, </w:t>
      </w:r>
      <w:r w:rsidRPr="005369A8">
        <w:rPr>
          <w:i/>
          <w:iCs/>
          <w:color w:val="000000" w:themeColor="text1"/>
        </w:rPr>
        <w:t>55</w:t>
      </w:r>
      <w:r w:rsidRPr="005369A8">
        <w:rPr>
          <w:color w:val="000000" w:themeColor="text1"/>
        </w:rPr>
        <w:t>(1), 5-26.</w:t>
      </w:r>
    </w:p>
    <w:p w14:paraId="6AEFB833" w14:textId="5C649182" w:rsidR="00251BB0" w:rsidRDefault="002620E4" w:rsidP="00801D8B">
      <w:pPr>
        <w:spacing w:line="480" w:lineRule="auto"/>
        <w:ind w:left="567" w:hanging="567"/>
        <w:rPr>
          <w:color w:val="000000" w:themeColor="text1"/>
        </w:rPr>
      </w:pPr>
      <w:proofErr w:type="spellStart"/>
      <w:r w:rsidRPr="002620E4">
        <w:rPr>
          <w:color w:val="000000" w:themeColor="text1"/>
        </w:rPr>
        <w:t>Guskey</w:t>
      </w:r>
      <w:proofErr w:type="spellEnd"/>
      <w:r w:rsidRPr="002620E4">
        <w:rPr>
          <w:color w:val="000000" w:themeColor="text1"/>
        </w:rPr>
        <w:t>, T., &amp; Bailey, J. (2001). Developing grading and reporting systems for student learning. Thousand Oaks, CA: Crown.</w:t>
      </w:r>
    </w:p>
    <w:p w14:paraId="097A7398" w14:textId="0F2E2ABA" w:rsidR="00251BB0" w:rsidRPr="00251BB0" w:rsidRDefault="00251BB0" w:rsidP="00801D8B">
      <w:pPr>
        <w:pStyle w:val="NormalWeb"/>
        <w:spacing w:before="0" w:beforeAutospacing="0" w:after="0" w:afterAutospacing="0" w:line="480" w:lineRule="auto"/>
        <w:ind w:left="480" w:hanging="480"/>
      </w:pPr>
      <w:r>
        <w:t xml:space="preserve">Kane, M. (2012). All </w:t>
      </w:r>
      <w:r w:rsidR="005068E6">
        <w:t>v</w:t>
      </w:r>
      <w:r>
        <w:t xml:space="preserve">alidity </w:t>
      </w:r>
      <w:r w:rsidR="005068E6">
        <w:t>i</w:t>
      </w:r>
      <w:r>
        <w:t xml:space="preserve">s </w:t>
      </w:r>
      <w:r w:rsidR="005068E6">
        <w:t>c</w:t>
      </w:r>
      <w:r>
        <w:t xml:space="preserve">onstruct </w:t>
      </w:r>
      <w:r w:rsidR="005068E6">
        <w:t>v</w:t>
      </w:r>
      <w:r>
        <w:t xml:space="preserve">alidity. Or </w:t>
      </w:r>
      <w:r w:rsidR="005068E6">
        <w:t>i</w:t>
      </w:r>
      <w:r>
        <w:t xml:space="preserve">s </w:t>
      </w:r>
      <w:r w:rsidR="005068E6">
        <w:t>i</w:t>
      </w:r>
      <w:r>
        <w:t xml:space="preserve">t? </w:t>
      </w:r>
      <w:r>
        <w:rPr>
          <w:i/>
          <w:iCs/>
        </w:rPr>
        <w:t>Measurement: Interdisciplinary Research and Perspectives</w:t>
      </w:r>
      <w:r>
        <w:t xml:space="preserve">, </w:t>
      </w:r>
      <w:r>
        <w:rPr>
          <w:i/>
          <w:iCs/>
        </w:rPr>
        <w:t>10</w:t>
      </w:r>
      <w:r>
        <w:t>(1-2), 66–70. http://doi.org/10.1080/15366367.2012.681977</w:t>
      </w:r>
    </w:p>
    <w:p w14:paraId="3C0B4295" w14:textId="4F05343B" w:rsidR="005D6123" w:rsidRDefault="002264FF" w:rsidP="00801D8B">
      <w:pPr>
        <w:pStyle w:val="NormalWeb"/>
        <w:spacing w:before="0" w:beforeAutospacing="0" w:after="0" w:afterAutospacing="0" w:line="480" w:lineRule="auto"/>
        <w:ind w:left="480" w:hanging="480"/>
      </w:pPr>
      <w:r>
        <w:t>Kane, M. T. (2015</w:t>
      </w:r>
      <w:r w:rsidR="0018263C">
        <w:t xml:space="preserve">). Explicating validity. </w:t>
      </w:r>
      <w:r w:rsidR="0018263C">
        <w:rPr>
          <w:i/>
          <w:iCs/>
        </w:rPr>
        <w:t>Assessment in Education: Principles, Policy &amp; Practice</w:t>
      </w:r>
      <w:r w:rsidR="0018263C">
        <w:t xml:space="preserve">, </w:t>
      </w:r>
      <w:r w:rsidR="0018263C">
        <w:rPr>
          <w:i/>
          <w:iCs/>
        </w:rPr>
        <w:t>23</w:t>
      </w:r>
      <w:r w:rsidR="0018263C">
        <w:t xml:space="preserve">(2), 198–211. </w:t>
      </w:r>
      <w:r w:rsidR="000317A1" w:rsidRPr="000317A1">
        <w:t>http://doi.org/10.1080/0969594X.2015.1060192</w:t>
      </w:r>
    </w:p>
    <w:p w14:paraId="0BE84343" w14:textId="767CC696" w:rsidR="00910E6D" w:rsidRDefault="00910E6D" w:rsidP="00801D8B">
      <w:pPr>
        <w:pStyle w:val="NormalWeb"/>
        <w:spacing w:before="0" w:beforeAutospacing="0" w:after="0" w:afterAutospacing="0" w:line="480" w:lineRule="auto"/>
        <w:ind w:left="480" w:hanging="480"/>
      </w:pPr>
      <w:r>
        <w:t xml:space="preserve">Koch, M. J. (2013). The multiple-use of accountability assessments: Implications for the process of validation. </w:t>
      </w:r>
      <w:r>
        <w:rPr>
          <w:i/>
          <w:iCs/>
        </w:rPr>
        <w:t>Educational Measurement: Issues and Practice</w:t>
      </w:r>
      <w:r>
        <w:t xml:space="preserve">, </w:t>
      </w:r>
      <w:r>
        <w:rPr>
          <w:i/>
          <w:iCs/>
        </w:rPr>
        <w:t>32</w:t>
      </w:r>
      <w:r>
        <w:t xml:space="preserve">(4), 2–15. </w:t>
      </w:r>
      <w:r w:rsidR="009F7137" w:rsidRPr="009F7137">
        <w:t>http://doi.org/10.1111/emip.12015</w:t>
      </w:r>
    </w:p>
    <w:p w14:paraId="0231585D" w14:textId="36E5A86E" w:rsidR="000B3E17" w:rsidRDefault="000B3E17" w:rsidP="00801D8B">
      <w:pPr>
        <w:spacing w:line="480" w:lineRule="auto"/>
        <w:ind w:left="567" w:hanging="567"/>
        <w:contextualSpacing/>
        <w:rPr>
          <w:color w:val="000000" w:themeColor="text1"/>
        </w:rPr>
      </w:pPr>
      <w:r w:rsidRPr="007527BC">
        <w:rPr>
          <w:color w:val="000000" w:themeColor="text1"/>
        </w:rPr>
        <w:t xml:space="preserve">McMillan, J. H. (2008). </w:t>
      </w:r>
      <w:r w:rsidRPr="007527BC">
        <w:rPr>
          <w:i/>
          <w:iCs/>
          <w:color w:val="000000" w:themeColor="text1"/>
        </w:rPr>
        <w:t xml:space="preserve">Assessment essentials for standards-based education </w:t>
      </w:r>
      <w:r w:rsidRPr="007527BC">
        <w:rPr>
          <w:color w:val="000000" w:themeColor="text1"/>
        </w:rPr>
        <w:t>(2nd ed.). Thousand Oaks, CA: Sage.</w:t>
      </w:r>
    </w:p>
    <w:p w14:paraId="6C14669A" w14:textId="4CF37216" w:rsidR="00BF6736" w:rsidRDefault="00BF6736" w:rsidP="00801D8B">
      <w:pPr>
        <w:spacing w:line="480" w:lineRule="auto"/>
        <w:ind w:left="567" w:hanging="567"/>
        <w:contextualSpacing/>
        <w:rPr>
          <w:rStyle w:val="apple-style-span"/>
          <w:color w:val="000000" w:themeColor="text1"/>
        </w:rPr>
      </w:pPr>
      <w:r w:rsidRPr="00E87E26">
        <w:rPr>
          <w:rStyle w:val="apple-style-span"/>
          <w:color w:val="000000" w:themeColor="text1"/>
        </w:rPr>
        <w:t xml:space="preserve">McMillan, J. H., &amp; Nash, S. (2000). </w:t>
      </w:r>
      <w:r w:rsidRPr="00E87E26">
        <w:rPr>
          <w:rStyle w:val="apple-style-span"/>
          <w:i/>
          <w:color w:val="000000" w:themeColor="text1"/>
        </w:rPr>
        <w:t>Teachers’ classroom assessment and grading decision making.</w:t>
      </w:r>
      <w:r w:rsidRPr="00E87E26">
        <w:rPr>
          <w:rStyle w:val="apple-style-span"/>
          <w:color w:val="000000" w:themeColor="text1"/>
        </w:rPr>
        <w:t xml:space="preserve"> Paper presented at the Annual Meeting of the National Council of Measurement in Education, New Orleans, LA.</w:t>
      </w:r>
    </w:p>
    <w:p w14:paraId="5AE34572" w14:textId="77777777" w:rsidR="003A023D" w:rsidRPr="003A023D" w:rsidRDefault="003A023D" w:rsidP="00801D8B">
      <w:pPr>
        <w:spacing w:line="480" w:lineRule="auto"/>
        <w:ind w:left="567" w:hanging="567"/>
        <w:contextualSpacing/>
        <w:rPr>
          <w:color w:val="000000" w:themeColor="text1"/>
        </w:rPr>
      </w:pPr>
      <w:proofErr w:type="spellStart"/>
      <w:r w:rsidRPr="003A023D">
        <w:rPr>
          <w:color w:val="000000" w:themeColor="text1"/>
        </w:rPr>
        <w:t>McMunn</w:t>
      </w:r>
      <w:proofErr w:type="spellEnd"/>
      <w:r w:rsidRPr="003A023D">
        <w:rPr>
          <w:color w:val="000000" w:themeColor="text1"/>
        </w:rPr>
        <w:t xml:space="preserve">, N., </w:t>
      </w:r>
      <w:proofErr w:type="spellStart"/>
      <w:r w:rsidRPr="003A023D">
        <w:rPr>
          <w:color w:val="000000" w:themeColor="text1"/>
        </w:rPr>
        <w:t>McColskey</w:t>
      </w:r>
      <w:proofErr w:type="spellEnd"/>
      <w:r w:rsidRPr="003A023D">
        <w:rPr>
          <w:color w:val="000000" w:themeColor="text1"/>
        </w:rPr>
        <w:t>, W., &amp; Butler, S. (2004). Building teacher capacity in classroom</w:t>
      </w:r>
    </w:p>
    <w:p w14:paraId="5BEC0AD1" w14:textId="77777777" w:rsidR="003A023D" w:rsidRPr="00E25618" w:rsidRDefault="003A023D" w:rsidP="00801D8B">
      <w:pPr>
        <w:spacing w:line="480" w:lineRule="auto"/>
        <w:ind w:left="567"/>
        <w:contextualSpacing/>
        <w:rPr>
          <w:i/>
          <w:color w:val="000000" w:themeColor="text1"/>
        </w:rPr>
      </w:pPr>
      <w:r w:rsidRPr="003A023D">
        <w:rPr>
          <w:color w:val="000000" w:themeColor="text1"/>
        </w:rPr>
        <w:t xml:space="preserve">assessment to improve student learning. </w:t>
      </w:r>
      <w:r w:rsidRPr="00E25618">
        <w:rPr>
          <w:i/>
          <w:color w:val="000000" w:themeColor="text1"/>
        </w:rPr>
        <w:t>International Journal of Educational Policy,</w:t>
      </w:r>
    </w:p>
    <w:p w14:paraId="1A7D5334" w14:textId="0967DD0E" w:rsidR="003A023D" w:rsidRDefault="003A023D" w:rsidP="00801D8B">
      <w:pPr>
        <w:spacing w:line="480" w:lineRule="auto"/>
        <w:ind w:left="567"/>
        <w:contextualSpacing/>
        <w:rPr>
          <w:color w:val="000000" w:themeColor="text1"/>
        </w:rPr>
      </w:pPr>
      <w:r w:rsidRPr="00E25618">
        <w:rPr>
          <w:i/>
          <w:color w:val="000000" w:themeColor="text1"/>
        </w:rPr>
        <w:t>Research, &amp; Practice, 4</w:t>
      </w:r>
      <w:r w:rsidRPr="003A023D">
        <w:rPr>
          <w:color w:val="000000" w:themeColor="text1"/>
        </w:rPr>
        <w:t>(4), 25-28.</w:t>
      </w:r>
    </w:p>
    <w:p w14:paraId="0EBB9F40" w14:textId="6BAC0946" w:rsidR="005D6123" w:rsidRDefault="005D6123" w:rsidP="00A773B5">
      <w:pPr>
        <w:spacing w:line="480" w:lineRule="auto"/>
        <w:ind w:left="567" w:hanging="567"/>
        <w:rPr>
          <w:color w:val="000000" w:themeColor="text1"/>
        </w:rPr>
      </w:pPr>
      <w:r w:rsidRPr="005D6123">
        <w:rPr>
          <w:color w:val="000000" w:themeColor="text1"/>
        </w:rPr>
        <w:t xml:space="preserve">Moss, P.A. 2003. </w:t>
      </w:r>
      <w:proofErr w:type="spellStart"/>
      <w:r w:rsidRPr="005D6123">
        <w:rPr>
          <w:color w:val="000000" w:themeColor="text1"/>
        </w:rPr>
        <w:t>Reconceptualizing</w:t>
      </w:r>
      <w:proofErr w:type="spellEnd"/>
      <w:r w:rsidRPr="005D6123">
        <w:rPr>
          <w:color w:val="000000" w:themeColor="text1"/>
        </w:rPr>
        <w:t xml:space="preserve"> validity for classroom a</w:t>
      </w:r>
      <w:r>
        <w:rPr>
          <w:color w:val="000000" w:themeColor="text1"/>
        </w:rPr>
        <w:t xml:space="preserve">ssessment. </w:t>
      </w:r>
      <w:r w:rsidRPr="00801D8B">
        <w:rPr>
          <w:i/>
          <w:color w:val="000000" w:themeColor="text1"/>
        </w:rPr>
        <w:t>Educational Measurement: Issues and Practice</w:t>
      </w:r>
      <w:r w:rsidR="00801D8B">
        <w:rPr>
          <w:i/>
          <w:color w:val="000000" w:themeColor="text1"/>
        </w:rPr>
        <w:t>,</w:t>
      </w:r>
      <w:r w:rsidRPr="00801D8B">
        <w:rPr>
          <w:i/>
          <w:color w:val="000000" w:themeColor="text1"/>
        </w:rPr>
        <w:t xml:space="preserve"> </w:t>
      </w:r>
      <w:r w:rsidRPr="005D6123">
        <w:rPr>
          <w:i/>
          <w:color w:val="000000" w:themeColor="text1"/>
        </w:rPr>
        <w:t>22</w:t>
      </w:r>
      <w:r>
        <w:rPr>
          <w:color w:val="000000" w:themeColor="text1"/>
        </w:rPr>
        <w:t>(</w:t>
      </w:r>
      <w:r w:rsidRPr="005D6123">
        <w:rPr>
          <w:color w:val="000000" w:themeColor="text1"/>
        </w:rPr>
        <w:t>4</w:t>
      </w:r>
      <w:r>
        <w:rPr>
          <w:color w:val="000000" w:themeColor="text1"/>
        </w:rPr>
        <w:t>),</w:t>
      </w:r>
      <w:r w:rsidRPr="005D6123">
        <w:rPr>
          <w:color w:val="000000" w:themeColor="text1"/>
        </w:rPr>
        <w:t xml:space="preserve"> 13–25.</w:t>
      </w:r>
      <w:r w:rsidR="00A773B5">
        <w:rPr>
          <w:color w:val="000000" w:themeColor="text1"/>
        </w:rPr>
        <w:t xml:space="preserve"> doi:</w:t>
      </w:r>
      <w:r w:rsidR="00A773B5" w:rsidRPr="00A773B5">
        <w:rPr>
          <w:color w:val="000000" w:themeColor="text1"/>
        </w:rPr>
        <w:t>10.1111/j.1745-3992.2003.tb00140.x</w:t>
      </w:r>
    </w:p>
    <w:p w14:paraId="3D364217" w14:textId="41ECBE70" w:rsidR="00EE674A" w:rsidRDefault="00C93B21" w:rsidP="00F10C7B">
      <w:pPr>
        <w:spacing w:line="480" w:lineRule="auto"/>
        <w:ind w:left="567" w:hanging="567"/>
        <w:rPr>
          <w:color w:val="000000" w:themeColor="text1"/>
        </w:rPr>
      </w:pPr>
      <w:r w:rsidRPr="00C93B21">
        <w:rPr>
          <w:color w:val="000000" w:themeColor="text1"/>
        </w:rPr>
        <w:lastRenderedPageBreak/>
        <w:t>Nagy, P. (2000). The Three Roles of Assessment: Gatekeeping, Accountability, and Instructional Diagnosis. </w:t>
      </w:r>
      <w:r w:rsidRPr="00C93B21">
        <w:rPr>
          <w:i/>
          <w:iCs/>
          <w:color w:val="000000" w:themeColor="text1"/>
        </w:rPr>
        <w:t>Canadian Journal of Education,</w:t>
      </w:r>
      <w:r w:rsidRPr="00C93B21">
        <w:rPr>
          <w:color w:val="000000" w:themeColor="text1"/>
        </w:rPr>
        <w:t> </w:t>
      </w:r>
      <w:r w:rsidRPr="00C93B21">
        <w:rPr>
          <w:i/>
          <w:iCs/>
          <w:color w:val="000000" w:themeColor="text1"/>
        </w:rPr>
        <w:t>25</w:t>
      </w:r>
      <w:r w:rsidRPr="00C93B21">
        <w:rPr>
          <w:color w:val="000000" w:themeColor="text1"/>
        </w:rPr>
        <w:t>(4), 262-279. doi:1. Retrieved from http://ww</w:t>
      </w:r>
      <w:r w:rsidR="00F10C7B">
        <w:rPr>
          <w:color w:val="000000" w:themeColor="text1"/>
        </w:rPr>
        <w:t>w.jstor.org/stable/1585850 doi:</w:t>
      </w:r>
      <w:r w:rsidR="00F10C7B" w:rsidRPr="00F10C7B">
        <w:rPr>
          <w:color w:val="000000" w:themeColor="text1"/>
        </w:rPr>
        <w:t>10.2307/1585850</w:t>
      </w:r>
    </w:p>
    <w:p w14:paraId="0650652A" w14:textId="2C8B49A2" w:rsidR="00801EFD" w:rsidRPr="00EE674A" w:rsidRDefault="00801D8B" w:rsidP="00801D8B">
      <w:pPr>
        <w:pStyle w:val="NormalWeb"/>
        <w:spacing w:before="0" w:beforeAutospacing="0" w:after="0" w:afterAutospacing="0" w:line="480" w:lineRule="auto"/>
        <w:ind w:left="480" w:hanging="480"/>
      </w:pPr>
      <w:r>
        <w:t>O’Connor, K.</w:t>
      </w:r>
      <w:r w:rsidR="00EE674A">
        <w:t xml:space="preserve"> (2010). Grades: When, why, what impact, and how? </w:t>
      </w:r>
      <w:r w:rsidR="00EE674A">
        <w:rPr>
          <w:i/>
          <w:iCs/>
        </w:rPr>
        <w:t>Education Canada</w:t>
      </w:r>
      <w:r w:rsidR="00EE674A">
        <w:t xml:space="preserve">, </w:t>
      </w:r>
      <w:r w:rsidR="00EE674A">
        <w:rPr>
          <w:i/>
          <w:iCs/>
        </w:rPr>
        <w:t>50</w:t>
      </w:r>
      <w:r w:rsidR="00EE674A">
        <w:t>(2), 38–42.</w:t>
      </w:r>
    </w:p>
    <w:p w14:paraId="33F31026" w14:textId="77777777" w:rsidR="00233C66" w:rsidRDefault="00233C66" w:rsidP="00801D8B">
      <w:pPr>
        <w:spacing w:line="480" w:lineRule="auto"/>
        <w:contextualSpacing/>
        <w:rPr>
          <w:color w:val="000000" w:themeColor="text1"/>
        </w:rPr>
      </w:pPr>
      <w:r w:rsidRPr="00233C66">
        <w:rPr>
          <w:color w:val="000000" w:themeColor="text1"/>
        </w:rPr>
        <w:t xml:space="preserve">Pattison, E., </w:t>
      </w:r>
      <w:proofErr w:type="spellStart"/>
      <w:r w:rsidRPr="00233C66">
        <w:rPr>
          <w:color w:val="000000" w:themeColor="text1"/>
        </w:rPr>
        <w:t>Grodsky</w:t>
      </w:r>
      <w:proofErr w:type="spellEnd"/>
      <w:r w:rsidRPr="00233C66">
        <w:rPr>
          <w:color w:val="000000" w:themeColor="text1"/>
        </w:rPr>
        <w:t xml:space="preserve">, E., &amp; Muller, C. (2013). Is the sky falling? Grade inflation and the </w:t>
      </w:r>
    </w:p>
    <w:p w14:paraId="681856FC" w14:textId="0EBF488A" w:rsidR="00233C66" w:rsidRDefault="00233C66" w:rsidP="00801D8B">
      <w:pPr>
        <w:spacing w:line="480" w:lineRule="auto"/>
        <w:ind w:left="567"/>
        <w:contextualSpacing/>
        <w:rPr>
          <w:color w:val="000000" w:themeColor="text1"/>
        </w:rPr>
      </w:pPr>
      <w:r w:rsidRPr="00233C66">
        <w:rPr>
          <w:color w:val="000000" w:themeColor="text1"/>
        </w:rPr>
        <w:t xml:space="preserve">signaling power of grades. </w:t>
      </w:r>
      <w:r w:rsidRPr="00233C66">
        <w:rPr>
          <w:i/>
          <w:color w:val="000000" w:themeColor="text1"/>
        </w:rPr>
        <w:t>Educational Researcher, 42</w:t>
      </w:r>
      <w:r w:rsidRPr="00233C66">
        <w:rPr>
          <w:color w:val="000000" w:themeColor="text1"/>
        </w:rPr>
        <w:t>, 259–265. doi:10.3102/ 0013189x13481382</w:t>
      </w:r>
    </w:p>
    <w:p w14:paraId="5545A2FF" w14:textId="6A8DB74B" w:rsidR="00801EFD" w:rsidRDefault="00801EFD" w:rsidP="00801D8B">
      <w:pPr>
        <w:spacing w:line="480" w:lineRule="auto"/>
        <w:ind w:left="567" w:hanging="567"/>
        <w:contextualSpacing/>
        <w:rPr>
          <w:color w:val="000000" w:themeColor="text1"/>
        </w:rPr>
      </w:pPr>
      <w:r w:rsidRPr="00801EFD">
        <w:rPr>
          <w:color w:val="000000" w:themeColor="text1"/>
        </w:rPr>
        <w:t xml:space="preserve">Patton, M. Q. (2014). </w:t>
      </w:r>
      <w:r w:rsidRPr="00801D8B">
        <w:rPr>
          <w:i/>
          <w:color w:val="000000" w:themeColor="text1"/>
        </w:rPr>
        <w:t>Qualitative Research &amp; Evaluation Methods: Integrating Theory and Practice</w:t>
      </w:r>
      <w:r w:rsidR="005068E6">
        <w:rPr>
          <w:color w:val="000000" w:themeColor="text1"/>
        </w:rPr>
        <w:t xml:space="preserve"> (4th ed.)</w:t>
      </w:r>
      <w:r w:rsidR="00801D8B">
        <w:rPr>
          <w:color w:val="000000" w:themeColor="text1"/>
        </w:rPr>
        <w:t>.</w:t>
      </w:r>
      <w:r w:rsidR="00B26B7B">
        <w:rPr>
          <w:color w:val="000000" w:themeColor="text1"/>
        </w:rPr>
        <w:t xml:space="preserve"> Saint </w:t>
      </w:r>
      <w:r w:rsidR="00241697">
        <w:rPr>
          <w:color w:val="000000" w:themeColor="text1"/>
        </w:rPr>
        <w:t>Paul, MN:</w:t>
      </w:r>
      <w:r w:rsidR="00FF53BD">
        <w:rPr>
          <w:color w:val="000000" w:themeColor="text1"/>
        </w:rPr>
        <w:t xml:space="preserve"> </w:t>
      </w:r>
      <w:r w:rsidR="004B0B75">
        <w:rPr>
          <w:color w:val="000000" w:themeColor="text1"/>
        </w:rPr>
        <w:t>Sage publications</w:t>
      </w:r>
      <w:r w:rsidRPr="00801EFD">
        <w:rPr>
          <w:color w:val="000000" w:themeColor="text1"/>
        </w:rPr>
        <w:t>.</w:t>
      </w:r>
    </w:p>
    <w:p w14:paraId="0C5DC9F0" w14:textId="0518C240" w:rsidR="00316F06" w:rsidRDefault="00316F06" w:rsidP="00801D8B">
      <w:pPr>
        <w:spacing w:line="480" w:lineRule="auto"/>
        <w:ind w:left="567" w:hanging="567"/>
        <w:contextualSpacing/>
        <w:rPr>
          <w:color w:val="000000" w:themeColor="text1"/>
        </w:rPr>
      </w:pPr>
      <w:proofErr w:type="spellStart"/>
      <w:r w:rsidRPr="005249AF">
        <w:t>Popham</w:t>
      </w:r>
      <w:proofErr w:type="spellEnd"/>
      <w:r w:rsidRPr="005249AF">
        <w:t xml:space="preserve">, J. W. (2013). </w:t>
      </w:r>
      <w:r w:rsidRPr="005249AF">
        <w:rPr>
          <w:i/>
        </w:rPr>
        <w:t>Classroom assessment: What teachers need to know</w:t>
      </w:r>
      <w:r w:rsidRPr="005249AF">
        <w:t xml:space="preserve"> (7th ed.). New York, NY: Pearson.</w:t>
      </w:r>
    </w:p>
    <w:p w14:paraId="55E0C545" w14:textId="06C5D1A2" w:rsidR="004F65E6" w:rsidRDefault="00D3773B" w:rsidP="00A11ED2">
      <w:pPr>
        <w:spacing w:line="480" w:lineRule="auto"/>
        <w:ind w:left="567" w:hanging="567"/>
        <w:contextualSpacing/>
        <w:rPr>
          <w:rFonts w:eastAsia="宋体"/>
          <w:color w:val="000000" w:themeColor="text1"/>
        </w:rPr>
      </w:pPr>
      <w:r w:rsidRPr="007527BC">
        <w:rPr>
          <w:color w:val="000000" w:themeColor="text1"/>
        </w:rPr>
        <w:t>Randall, J., &amp; Engelhard, G. (20</w:t>
      </w:r>
      <w:r w:rsidRPr="007527BC">
        <w:rPr>
          <w:rFonts w:eastAsia="宋体"/>
          <w:color w:val="000000" w:themeColor="text1"/>
        </w:rPr>
        <w:t>10</w:t>
      </w:r>
      <w:r w:rsidRPr="007527BC">
        <w:rPr>
          <w:color w:val="000000" w:themeColor="text1"/>
        </w:rPr>
        <w:t>).</w:t>
      </w:r>
      <w:r w:rsidRPr="007527BC">
        <w:rPr>
          <w:rFonts w:eastAsia="宋体"/>
          <w:color w:val="000000" w:themeColor="text1"/>
        </w:rPr>
        <w:t xml:space="preserve"> </w:t>
      </w:r>
      <w:r w:rsidRPr="007527BC">
        <w:rPr>
          <w:color w:val="000000" w:themeColor="text1"/>
        </w:rPr>
        <w:t>Examining the grading practices of teachers</w:t>
      </w:r>
      <w:r w:rsidRPr="007527BC">
        <w:rPr>
          <w:rFonts w:eastAsia="宋体"/>
          <w:color w:val="000000" w:themeColor="text1"/>
        </w:rPr>
        <w:t xml:space="preserve">. </w:t>
      </w:r>
      <w:r w:rsidRPr="007527BC">
        <w:rPr>
          <w:rFonts w:eastAsia="宋体"/>
          <w:i/>
          <w:color w:val="000000" w:themeColor="text1"/>
        </w:rPr>
        <w:t>Teaching and Teacher Education</w:t>
      </w:r>
      <w:r w:rsidRPr="007527BC">
        <w:rPr>
          <w:rFonts w:eastAsia="宋体"/>
          <w:color w:val="000000" w:themeColor="text1"/>
        </w:rPr>
        <w:t xml:space="preserve">, </w:t>
      </w:r>
      <w:r w:rsidRPr="007527BC">
        <w:rPr>
          <w:rFonts w:eastAsia="宋体"/>
          <w:i/>
          <w:color w:val="000000" w:themeColor="text1"/>
        </w:rPr>
        <w:t>26</w:t>
      </w:r>
      <w:r w:rsidRPr="007527BC">
        <w:rPr>
          <w:rFonts w:eastAsia="宋体"/>
          <w:color w:val="000000" w:themeColor="text1"/>
        </w:rPr>
        <w:t>(7), 1372</w:t>
      </w:r>
      <w:r w:rsidRPr="007527BC">
        <w:rPr>
          <w:color w:val="000000" w:themeColor="text1"/>
        </w:rPr>
        <w:t>–</w:t>
      </w:r>
      <w:r w:rsidRPr="007527BC">
        <w:rPr>
          <w:rFonts w:eastAsia="宋体"/>
          <w:color w:val="000000" w:themeColor="text1"/>
        </w:rPr>
        <w:t>1380.</w:t>
      </w:r>
    </w:p>
    <w:p w14:paraId="70184CAE" w14:textId="148DE6C1" w:rsidR="00C128C9" w:rsidRDefault="004F65E6" w:rsidP="00A11ED2">
      <w:pPr>
        <w:spacing w:line="480" w:lineRule="auto"/>
        <w:ind w:left="567" w:hanging="567"/>
        <w:contextualSpacing/>
        <w:rPr>
          <w:rFonts w:eastAsia="宋体"/>
          <w:color w:val="000000" w:themeColor="text1"/>
        </w:rPr>
      </w:pPr>
      <w:r w:rsidRPr="004F65E6">
        <w:rPr>
          <w:rFonts w:eastAsia="宋体"/>
          <w:color w:val="000000" w:themeColor="text1"/>
        </w:rPr>
        <w:t>Ryerson, E. (1868). </w:t>
      </w:r>
      <w:r w:rsidRPr="004F65E6">
        <w:rPr>
          <w:rFonts w:eastAsia="宋体"/>
          <w:i/>
          <w:iCs/>
          <w:color w:val="000000" w:themeColor="text1"/>
        </w:rPr>
        <w:t xml:space="preserve">A </w:t>
      </w:r>
      <w:r w:rsidR="009168C2" w:rsidRPr="004F65E6">
        <w:rPr>
          <w:rFonts w:eastAsia="宋体"/>
          <w:i/>
          <w:iCs/>
          <w:color w:val="000000" w:themeColor="text1"/>
        </w:rPr>
        <w:t>special report on the systems and state of popular</w:t>
      </w:r>
      <w:r w:rsidR="00CA29E6">
        <w:rPr>
          <w:rFonts w:eastAsia="宋体"/>
          <w:i/>
          <w:iCs/>
          <w:color w:val="000000" w:themeColor="text1"/>
        </w:rPr>
        <w:t xml:space="preserve"> education on the continent of Europe, in the British I</w:t>
      </w:r>
      <w:r w:rsidR="009168C2" w:rsidRPr="004F65E6">
        <w:rPr>
          <w:rFonts w:eastAsia="宋体"/>
          <w:i/>
          <w:iCs/>
          <w:color w:val="000000" w:themeColor="text1"/>
        </w:rPr>
        <w:t xml:space="preserve">sles, </w:t>
      </w:r>
      <w:r w:rsidR="00CA29E6">
        <w:rPr>
          <w:rFonts w:eastAsia="宋体"/>
          <w:i/>
          <w:iCs/>
          <w:color w:val="000000" w:themeColor="text1"/>
        </w:rPr>
        <w:t>and the united states of A</w:t>
      </w:r>
      <w:r w:rsidR="009168C2" w:rsidRPr="004F65E6">
        <w:rPr>
          <w:rFonts w:eastAsia="宋体"/>
          <w:i/>
          <w:iCs/>
          <w:color w:val="000000" w:themeColor="text1"/>
        </w:rPr>
        <w:t xml:space="preserve">merica: with practical suggestions for the improvement of public </w:t>
      </w:r>
      <w:r w:rsidR="00CA29E6">
        <w:rPr>
          <w:rFonts w:eastAsia="宋体"/>
          <w:i/>
          <w:iCs/>
          <w:color w:val="000000" w:themeColor="text1"/>
        </w:rPr>
        <w:t>instruction in the province of O</w:t>
      </w:r>
      <w:r w:rsidR="009168C2" w:rsidRPr="004F65E6">
        <w:rPr>
          <w:rFonts w:eastAsia="宋体"/>
          <w:i/>
          <w:iCs/>
          <w:color w:val="000000" w:themeColor="text1"/>
        </w:rPr>
        <w:t>ntario</w:t>
      </w:r>
      <w:r w:rsidR="009168C2" w:rsidRPr="004F65E6">
        <w:rPr>
          <w:rFonts w:eastAsia="宋体"/>
          <w:color w:val="000000" w:themeColor="text1"/>
        </w:rPr>
        <w:t xml:space="preserve">. </w:t>
      </w:r>
      <w:r w:rsidRPr="004F65E6">
        <w:rPr>
          <w:rFonts w:eastAsia="宋体"/>
          <w:color w:val="000000" w:themeColor="text1"/>
        </w:rPr>
        <w:t>Leader</w:t>
      </w:r>
      <w:r w:rsidR="00B5616D">
        <w:rPr>
          <w:rFonts w:eastAsia="宋体"/>
          <w:color w:val="000000" w:themeColor="text1"/>
        </w:rPr>
        <w:t xml:space="preserve"> </w:t>
      </w:r>
      <w:r w:rsidR="004376DF">
        <w:rPr>
          <w:rFonts w:eastAsia="宋体"/>
          <w:color w:val="000000" w:themeColor="text1"/>
        </w:rPr>
        <w:t>Steam Press Establishment</w:t>
      </w:r>
      <w:r w:rsidRPr="004F65E6">
        <w:rPr>
          <w:rFonts w:eastAsia="宋体"/>
          <w:color w:val="000000" w:themeColor="text1"/>
        </w:rPr>
        <w:t>.</w:t>
      </w:r>
    </w:p>
    <w:p w14:paraId="70BBE067" w14:textId="3E4E29B1" w:rsidR="005761A7" w:rsidRDefault="005761A7" w:rsidP="00A11ED2">
      <w:pPr>
        <w:spacing w:line="480" w:lineRule="auto"/>
        <w:ind w:left="567" w:hanging="567"/>
        <w:contextualSpacing/>
        <w:rPr>
          <w:rFonts w:eastAsia="宋体"/>
          <w:color w:val="000000" w:themeColor="text1"/>
        </w:rPr>
      </w:pPr>
      <w:r w:rsidRPr="005761A7">
        <w:rPr>
          <w:rFonts w:eastAsia="宋体"/>
          <w:color w:val="000000" w:themeColor="text1"/>
        </w:rPr>
        <w:t xml:space="preserve">Scott, E. L. (1995). " </w:t>
      </w:r>
      <w:proofErr w:type="spellStart"/>
      <w:r w:rsidRPr="005761A7">
        <w:rPr>
          <w:rFonts w:eastAsia="宋体"/>
          <w:color w:val="000000" w:themeColor="text1"/>
        </w:rPr>
        <w:t>Mokita</w:t>
      </w:r>
      <w:proofErr w:type="spellEnd"/>
      <w:r w:rsidRPr="005761A7">
        <w:rPr>
          <w:rFonts w:eastAsia="宋体"/>
          <w:color w:val="000000" w:themeColor="text1"/>
        </w:rPr>
        <w:t>," the Truth That Everybody Knows, but Nobody Talks About: Bias in Grading. </w:t>
      </w:r>
      <w:r w:rsidRPr="005761A7">
        <w:rPr>
          <w:rFonts w:eastAsia="宋体"/>
          <w:i/>
          <w:iCs/>
          <w:color w:val="000000" w:themeColor="text1"/>
        </w:rPr>
        <w:t>Teaching English in the Two-Year College</w:t>
      </w:r>
      <w:r w:rsidRPr="005761A7">
        <w:rPr>
          <w:rFonts w:eastAsia="宋体"/>
          <w:color w:val="000000" w:themeColor="text1"/>
        </w:rPr>
        <w:t>, </w:t>
      </w:r>
      <w:r w:rsidRPr="005761A7">
        <w:rPr>
          <w:rFonts w:eastAsia="宋体"/>
          <w:i/>
          <w:iCs/>
          <w:color w:val="000000" w:themeColor="text1"/>
        </w:rPr>
        <w:t>22</w:t>
      </w:r>
      <w:r w:rsidRPr="005761A7">
        <w:rPr>
          <w:rFonts w:eastAsia="宋体"/>
          <w:color w:val="000000" w:themeColor="text1"/>
        </w:rPr>
        <w:t>(3), 211-16.</w:t>
      </w:r>
    </w:p>
    <w:p w14:paraId="1594C613" w14:textId="562C5E21" w:rsidR="006D3719" w:rsidRDefault="00F5148A" w:rsidP="00801D8B">
      <w:pPr>
        <w:spacing w:line="480" w:lineRule="auto"/>
        <w:ind w:left="567" w:hanging="567"/>
        <w:contextualSpacing/>
        <w:rPr>
          <w:rFonts w:eastAsia="宋体"/>
          <w:color w:val="000000" w:themeColor="text1"/>
        </w:rPr>
      </w:pPr>
      <w:r w:rsidRPr="00F5148A">
        <w:rPr>
          <w:rFonts w:eastAsia="宋体"/>
          <w:color w:val="000000" w:themeColor="text1"/>
        </w:rPr>
        <w:t xml:space="preserve">Simon, M., </w:t>
      </w:r>
      <w:proofErr w:type="spellStart"/>
      <w:r w:rsidRPr="00F5148A">
        <w:rPr>
          <w:rFonts w:eastAsia="宋体"/>
          <w:color w:val="000000" w:themeColor="text1"/>
        </w:rPr>
        <w:t>Chitpin</w:t>
      </w:r>
      <w:proofErr w:type="spellEnd"/>
      <w:r w:rsidRPr="00F5148A">
        <w:rPr>
          <w:rFonts w:eastAsia="宋体"/>
          <w:color w:val="000000" w:themeColor="text1"/>
        </w:rPr>
        <w:t xml:space="preserve">, S., &amp; </w:t>
      </w:r>
      <w:proofErr w:type="spellStart"/>
      <w:r w:rsidRPr="00F5148A">
        <w:rPr>
          <w:rFonts w:eastAsia="宋体"/>
          <w:color w:val="000000" w:themeColor="text1"/>
        </w:rPr>
        <w:t>Yahya</w:t>
      </w:r>
      <w:proofErr w:type="spellEnd"/>
      <w:r w:rsidRPr="00F5148A">
        <w:rPr>
          <w:rFonts w:eastAsia="宋体"/>
          <w:color w:val="000000" w:themeColor="text1"/>
        </w:rPr>
        <w:t>, R. (2010). Pre-service teachers’ thinking about student assessment issues. </w:t>
      </w:r>
      <w:r w:rsidRPr="00F5148A">
        <w:rPr>
          <w:rFonts w:eastAsia="宋体"/>
          <w:i/>
          <w:iCs/>
          <w:color w:val="000000" w:themeColor="text1"/>
        </w:rPr>
        <w:t>International Journal of Education</w:t>
      </w:r>
      <w:r w:rsidRPr="00F5148A">
        <w:rPr>
          <w:rFonts w:eastAsia="宋体"/>
          <w:color w:val="000000" w:themeColor="text1"/>
        </w:rPr>
        <w:t>, </w:t>
      </w:r>
      <w:r w:rsidRPr="00F5148A">
        <w:rPr>
          <w:rFonts w:eastAsia="宋体"/>
          <w:i/>
          <w:iCs/>
          <w:color w:val="000000" w:themeColor="text1"/>
        </w:rPr>
        <w:t>2</w:t>
      </w:r>
      <w:r w:rsidRPr="00F5148A">
        <w:rPr>
          <w:rFonts w:eastAsia="宋体"/>
          <w:color w:val="000000" w:themeColor="text1"/>
        </w:rPr>
        <w:t>(2)</w:t>
      </w:r>
      <w:r w:rsidR="00452FB5">
        <w:rPr>
          <w:rFonts w:eastAsia="宋体"/>
          <w:color w:val="000000" w:themeColor="text1"/>
        </w:rPr>
        <w:t>, 1-20</w:t>
      </w:r>
      <w:r w:rsidRPr="00F5148A">
        <w:rPr>
          <w:rFonts w:eastAsia="宋体"/>
          <w:color w:val="000000" w:themeColor="text1"/>
        </w:rPr>
        <w:t>.</w:t>
      </w:r>
    </w:p>
    <w:p w14:paraId="0E1FE4C4" w14:textId="5419B8CA" w:rsidR="00776CE7" w:rsidRPr="00776CE7" w:rsidRDefault="00776CE7" w:rsidP="00801D8B">
      <w:pPr>
        <w:pStyle w:val="NormalWeb"/>
        <w:spacing w:before="0" w:beforeAutospacing="0" w:after="0" w:afterAutospacing="0" w:line="480" w:lineRule="auto"/>
        <w:ind w:left="480" w:hanging="480"/>
      </w:pPr>
      <w:proofErr w:type="spellStart"/>
      <w:r>
        <w:lastRenderedPageBreak/>
        <w:t>Stiggins</w:t>
      </w:r>
      <w:proofErr w:type="spellEnd"/>
      <w:r>
        <w:t xml:space="preserve">, R. (2005). From formative assessment to assessment FOR learning: </w:t>
      </w:r>
      <w:r>
        <w:rPr>
          <w:i/>
          <w:iCs/>
        </w:rPr>
        <w:t xml:space="preserve">Phi Delta </w:t>
      </w:r>
      <w:proofErr w:type="spellStart"/>
      <w:r>
        <w:rPr>
          <w:i/>
          <w:iCs/>
        </w:rPr>
        <w:t>Kappan</w:t>
      </w:r>
      <w:proofErr w:type="spellEnd"/>
      <w:r>
        <w:t xml:space="preserve">, </w:t>
      </w:r>
      <w:r>
        <w:rPr>
          <w:i/>
          <w:iCs/>
        </w:rPr>
        <w:t>87</w:t>
      </w:r>
      <w:r>
        <w:t>(4), 324–328.</w:t>
      </w:r>
    </w:p>
    <w:p w14:paraId="10485514" w14:textId="056BDCF7" w:rsidR="006F6C11" w:rsidRPr="00A11ED2" w:rsidRDefault="00C128C9" w:rsidP="00A11ED2">
      <w:pPr>
        <w:spacing w:line="480" w:lineRule="auto"/>
        <w:ind w:left="567" w:hanging="567"/>
        <w:contextualSpacing/>
        <w:rPr>
          <w:rFonts w:eastAsia="宋体"/>
          <w:color w:val="000000" w:themeColor="text1"/>
        </w:rPr>
      </w:pPr>
      <w:proofErr w:type="spellStart"/>
      <w:r w:rsidRPr="00C128C9">
        <w:rPr>
          <w:rFonts w:eastAsia="宋体"/>
          <w:color w:val="000000" w:themeColor="text1"/>
        </w:rPr>
        <w:t>Stiggins</w:t>
      </w:r>
      <w:proofErr w:type="spellEnd"/>
      <w:r w:rsidRPr="00C128C9">
        <w:rPr>
          <w:rFonts w:eastAsia="宋体"/>
          <w:color w:val="000000" w:themeColor="text1"/>
        </w:rPr>
        <w:t xml:space="preserve">, R. J., </w:t>
      </w:r>
      <w:proofErr w:type="spellStart"/>
      <w:r w:rsidRPr="00C128C9">
        <w:rPr>
          <w:rFonts w:eastAsia="宋体"/>
          <w:color w:val="000000" w:themeColor="text1"/>
        </w:rPr>
        <w:t>Frisbie</w:t>
      </w:r>
      <w:proofErr w:type="spellEnd"/>
      <w:r w:rsidRPr="00C128C9">
        <w:rPr>
          <w:rFonts w:eastAsia="宋体"/>
          <w:color w:val="000000" w:themeColor="text1"/>
        </w:rPr>
        <w:t>, D. A.,</w:t>
      </w:r>
      <w:r w:rsidR="000F409F">
        <w:rPr>
          <w:rFonts w:eastAsia="宋体"/>
          <w:color w:val="000000" w:themeColor="text1"/>
        </w:rPr>
        <w:t xml:space="preserve"> </w:t>
      </w:r>
      <w:r w:rsidRPr="00C128C9">
        <w:rPr>
          <w:rFonts w:eastAsia="宋体"/>
          <w:color w:val="000000" w:themeColor="text1"/>
        </w:rPr>
        <w:t>&amp;</w:t>
      </w:r>
      <w:r w:rsidR="000F409F">
        <w:rPr>
          <w:rFonts w:eastAsia="宋体"/>
          <w:color w:val="000000" w:themeColor="text1"/>
        </w:rPr>
        <w:t xml:space="preserve"> </w:t>
      </w:r>
      <w:r w:rsidRPr="00C128C9">
        <w:rPr>
          <w:rFonts w:eastAsia="宋体"/>
          <w:color w:val="000000" w:themeColor="text1"/>
        </w:rPr>
        <w:t xml:space="preserve">Griswold, P. A. (1989). Inside high school grading practices: Building a research agenda. </w:t>
      </w:r>
      <w:r w:rsidRPr="00A11ED2">
        <w:rPr>
          <w:rFonts w:eastAsia="宋体"/>
          <w:i/>
          <w:color w:val="000000" w:themeColor="text1"/>
        </w:rPr>
        <w:t>Educational Measurement: Issues and Practice, 8</w:t>
      </w:r>
      <w:r>
        <w:rPr>
          <w:rFonts w:eastAsia="宋体"/>
          <w:color w:val="000000" w:themeColor="text1"/>
        </w:rPr>
        <w:t xml:space="preserve">(2), 5–14. </w:t>
      </w:r>
    </w:p>
    <w:p w14:paraId="4CCDB5B0" w14:textId="71645D71" w:rsidR="009C6C5F" w:rsidRDefault="00334BAB" w:rsidP="00A11ED2">
      <w:pPr>
        <w:spacing w:line="480" w:lineRule="auto"/>
        <w:ind w:left="567" w:hanging="567"/>
        <w:rPr>
          <w:color w:val="000000" w:themeColor="text1"/>
        </w:rPr>
      </w:pPr>
      <w:proofErr w:type="spellStart"/>
      <w:r w:rsidRPr="00334BAB">
        <w:rPr>
          <w:color w:val="000000" w:themeColor="text1"/>
        </w:rPr>
        <w:t>Stobart</w:t>
      </w:r>
      <w:proofErr w:type="spellEnd"/>
      <w:r w:rsidRPr="00334BAB">
        <w:rPr>
          <w:color w:val="000000" w:themeColor="text1"/>
        </w:rPr>
        <w:t xml:space="preserve">, G. 2008. </w:t>
      </w:r>
      <w:r w:rsidRPr="00334BAB">
        <w:rPr>
          <w:i/>
          <w:color w:val="000000" w:themeColor="text1"/>
        </w:rPr>
        <w:t>Testing times: The uses and abuses of assessment</w:t>
      </w:r>
      <w:r w:rsidRPr="00334BAB">
        <w:rPr>
          <w:color w:val="000000" w:themeColor="text1"/>
        </w:rPr>
        <w:t>. London</w:t>
      </w:r>
      <w:r w:rsidR="005068E6">
        <w:rPr>
          <w:color w:val="000000" w:themeColor="text1"/>
        </w:rPr>
        <w:t>, UK</w:t>
      </w:r>
      <w:r w:rsidRPr="00334BAB">
        <w:rPr>
          <w:color w:val="000000" w:themeColor="text1"/>
        </w:rPr>
        <w:t>: Routledge.</w:t>
      </w:r>
    </w:p>
    <w:p w14:paraId="1E4FAF65" w14:textId="77777777" w:rsidR="009C6C5F" w:rsidRDefault="009C6C5F" w:rsidP="00801D8B">
      <w:pPr>
        <w:spacing w:line="480" w:lineRule="auto"/>
        <w:rPr>
          <w:rFonts w:eastAsia="Times New Roman"/>
          <w:i/>
          <w:iCs/>
        </w:rPr>
      </w:pPr>
      <w:proofErr w:type="spellStart"/>
      <w:r>
        <w:rPr>
          <w:rFonts w:eastAsia="Times New Roman"/>
        </w:rPr>
        <w:t>Swaffield</w:t>
      </w:r>
      <w:proofErr w:type="spellEnd"/>
      <w:r>
        <w:rPr>
          <w:rFonts w:eastAsia="Times New Roman"/>
        </w:rPr>
        <w:t xml:space="preserve">, S. (2011). Getting to the heart of authentic assessment for learning. </w:t>
      </w:r>
      <w:r>
        <w:rPr>
          <w:rFonts w:eastAsia="Times New Roman"/>
          <w:i/>
          <w:iCs/>
        </w:rPr>
        <w:t xml:space="preserve">Assessment in </w:t>
      </w:r>
    </w:p>
    <w:p w14:paraId="3B14770B" w14:textId="6A518AAD" w:rsidR="00334BAB" w:rsidRPr="00A11ED2" w:rsidRDefault="009C6C5F" w:rsidP="00A11ED2">
      <w:pPr>
        <w:spacing w:line="480" w:lineRule="auto"/>
        <w:ind w:firstLine="567"/>
        <w:rPr>
          <w:rFonts w:eastAsia="Times New Roman"/>
        </w:rPr>
      </w:pPr>
      <w:r>
        <w:rPr>
          <w:rFonts w:eastAsia="Times New Roman"/>
          <w:i/>
          <w:iCs/>
        </w:rPr>
        <w:t>Education: Principles, Policy &amp; Practice</w:t>
      </w:r>
      <w:r>
        <w:rPr>
          <w:rFonts w:eastAsia="Times New Roman"/>
        </w:rPr>
        <w:t xml:space="preserve">, </w:t>
      </w:r>
      <w:r>
        <w:rPr>
          <w:rFonts w:eastAsia="Times New Roman"/>
          <w:i/>
          <w:iCs/>
        </w:rPr>
        <w:t>18</w:t>
      </w:r>
      <w:r>
        <w:rPr>
          <w:rFonts w:eastAsia="Times New Roman"/>
        </w:rPr>
        <w:t>(4), 433-449</w:t>
      </w:r>
      <w:r w:rsidR="00A11ED2">
        <w:rPr>
          <w:rFonts w:eastAsia="Times New Roman"/>
        </w:rPr>
        <w:t>.</w:t>
      </w:r>
    </w:p>
    <w:p w14:paraId="1C018CB7" w14:textId="5541EF6E" w:rsidR="0019432B" w:rsidRDefault="006F6C11" w:rsidP="00A11ED2">
      <w:pPr>
        <w:spacing w:line="480" w:lineRule="auto"/>
        <w:ind w:left="567" w:hanging="567"/>
        <w:rPr>
          <w:color w:val="000000" w:themeColor="text1"/>
        </w:rPr>
      </w:pPr>
      <w:proofErr w:type="spellStart"/>
      <w:r w:rsidRPr="006F6C11">
        <w:rPr>
          <w:color w:val="000000" w:themeColor="text1"/>
        </w:rPr>
        <w:t>Thorsen</w:t>
      </w:r>
      <w:proofErr w:type="spellEnd"/>
      <w:r w:rsidRPr="006F6C11">
        <w:rPr>
          <w:color w:val="000000" w:themeColor="text1"/>
        </w:rPr>
        <w:t>, C. (2014). Dimensions of norm-referenced compulsory school grades and their relative importance for the prediction of upper secondary school grades. </w:t>
      </w:r>
      <w:r w:rsidRPr="006F6C11">
        <w:rPr>
          <w:i/>
          <w:iCs/>
          <w:color w:val="000000" w:themeColor="text1"/>
        </w:rPr>
        <w:t>Scandinavian Journal of Educational Research</w:t>
      </w:r>
      <w:r w:rsidRPr="006F6C11">
        <w:rPr>
          <w:color w:val="000000" w:themeColor="text1"/>
        </w:rPr>
        <w:t>, </w:t>
      </w:r>
      <w:r w:rsidRPr="006F6C11">
        <w:rPr>
          <w:i/>
          <w:iCs/>
          <w:color w:val="000000" w:themeColor="text1"/>
        </w:rPr>
        <w:t>58</w:t>
      </w:r>
      <w:r w:rsidRPr="006F6C11">
        <w:rPr>
          <w:color w:val="000000" w:themeColor="text1"/>
        </w:rPr>
        <w:t>(2), 127-146.</w:t>
      </w:r>
    </w:p>
    <w:p w14:paraId="41F4A1FA" w14:textId="5D8B2DF8" w:rsidR="006F6C11" w:rsidRDefault="0019432B" w:rsidP="00A11ED2">
      <w:pPr>
        <w:spacing w:line="480" w:lineRule="auto"/>
        <w:ind w:left="567" w:hanging="567"/>
        <w:rPr>
          <w:color w:val="000000" w:themeColor="text1"/>
        </w:rPr>
      </w:pPr>
      <w:proofErr w:type="spellStart"/>
      <w:r w:rsidRPr="0019432B">
        <w:rPr>
          <w:color w:val="000000" w:themeColor="text1"/>
        </w:rPr>
        <w:t>Thorsen</w:t>
      </w:r>
      <w:proofErr w:type="spellEnd"/>
      <w:r w:rsidRPr="0019432B">
        <w:rPr>
          <w:color w:val="000000" w:themeColor="text1"/>
        </w:rPr>
        <w:t xml:space="preserve">, C., &amp; </w:t>
      </w:r>
      <w:proofErr w:type="spellStart"/>
      <w:r w:rsidRPr="0019432B">
        <w:rPr>
          <w:color w:val="000000" w:themeColor="text1"/>
        </w:rPr>
        <w:t>Cliffordson</w:t>
      </w:r>
      <w:proofErr w:type="spellEnd"/>
      <w:r w:rsidRPr="0019432B">
        <w:rPr>
          <w:color w:val="000000" w:themeColor="text1"/>
        </w:rPr>
        <w:t xml:space="preserve">, C. (2012). Teachers’ grade assignment and the predictive validity of criterion-referenced grades. </w:t>
      </w:r>
      <w:r w:rsidRPr="0019432B">
        <w:rPr>
          <w:i/>
          <w:color w:val="000000" w:themeColor="text1"/>
        </w:rPr>
        <w:t>Educational Research and Evaluation, 18</w:t>
      </w:r>
      <w:r w:rsidRPr="0019432B">
        <w:rPr>
          <w:color w:val="000000" w:themeColor="text1"/>
        </w:rPr>
        <w:t>, 153–172. doi:10.1080/13803611.2012.659929</w:t>
      </w:r>
    </w:p>
    <w:p w14:paraId="3437CE1E" w14:textId="4CFE3DDB" w:rsidR="00986DCE" w:rsidRPr="005D6123" w:rsidRDefault="00986DCE" w:rsidP="00A11ED2">
      <w:pPr>
        <w:spacing w:line="480" w:lineRule="auto"/>
        <w:ind w:left="567" w:hanging="567"/>
        <w:rPr>
          <w:color w:val="000000" w:themeColor="text1"/>
        </w:rPr>
      </w:pPr>
      <w:r w:rsidRPr="00986DCE">
        <w:rPr>
          <w:color w:val="000000" w:themeColor="text1"/>
        </w:rPr>
        <w:t xml:space="preserve">Tierney, R. D., Simon, M., &amp; </w:t>
      </w:r>
      <w:proofErr w:type="spellStart"/>
      <w:r w:rsidRPr="00986DCE">
        <w:rPr>
          <w:color w:val="000000" w:themeColor="text1"/>
        </w:rPr>
        <w:t>Charland</w:t>
      </w:r>
      <w:proofErr w:type="spellEnd"/>
      <w:r w:rsidRPr="00986DCE">
        <w:rPr>
          <w:color w:val="000000" w:themeColor="text1"/>
        </w:rPr>
        <w:t>, J. (2011). Being fair: Teachers’ interpretations of principles for standards-based grading</w:t>
      </w:r>
      <w:r w:rsidR="005068E6">
        <w:rPr>
          <w:color w:val="000000" w:themeColor="text1"/>
        </w:rPr>
        <w:t>.</w:t>
      </w:r>
      <w:r w:rsidR="005068E6" w:rsidRPr="00986DCE" w:rsidDel="005068E6">
        <w:rPr>
          <w:color w:val="000000" w:themeColor="text1"/>
        </w:rPr>
        <w:t xml:space="preserve"> </w:t>
      </w:r>
      <w:r w:rsidRPr="00986DCE">
        <w:rPr>
          <w:i/>
          <w:iCs/>
          <w:color w:val="000000" w:themeColor="text1"/>
        </w:rPr>
        <w:t>The Educational Forum</w:t>
      </w:r>
      <w:r w:rsidR="005068E6">
        <w:rPr>
          <w:i/>
          <w:iCs/>
          <w:color w:val="000000" w:themeColor="text1"/>
        </w:rPr>
        <w:t>, 75</w:t>
      </w:r>
      <w:r w:rsidR="005068E6">
        <w:rPr>
          <w:iCs/>
          <w:color w:val="000000" w:themeColor="text1"/>
        </w:rPr>
        <w:t>(3)</w:t>
      </w:r>
      <w:r w:rsidR="005068E6">
        <w:rPr>
          <w:color w:val="000000" w:themeColor="text1"/>
        </w:rPr>
        <w:t>,</w:t>
      </w:r>
      <w:r w:rsidRPr="00986DCE">
        <w:rPr>
          <w:color w:val="000000" w:themeColor="text1"/>
        </w:rPr>
        <w:t xml:space="preserve"> 210-227.</w:t>
      </w:r>
    </w:p>
    <w:p w14:paraId="23E12134" w14:textId="77777777" w:rsidR="00BA2E27" w:rsidRDefault="00BA2E27" w:rsidP="00801D8B">
      <w:pPr>
        <w:spacing w:line="480" w:lineRule="auto"/>
        <w:outlineLvl w:val="0"/>
        <w:rPr>
          <w:i/>
          <w:iCs/>
          <w:color w:val="000000" w:themeColor="text1"/>
        </w:rPr>
      </w:pPr>
      <w:proofErr w:type="spellStart"/>
      <w:r w:rsidRPr="00BA2E27">
        <w:rPr>
          <w:color w:val="000000" w:themeColor="text1"/>
        </w:rPr>
        <w:t>Volante</w:t>
      </w:r>
      <w:proofErr w:type="spellEnd"/>
      <w:r w:rsidRPr="00BA2E27">
        <w:rPr>
          <w:color w:val="000000" w:themeColor="text1"/>
        </w:rPr>
        <w:t xml:space="preserve">, L., &amp; Ben </w:t>
      </w:r>
      <w:proofErr w:type="spellStart"/>
      <w:r w:rsidRPr="00BA2E27">
        <w:rPr>
          <w:color w:val="000000" w:themeColor="text1"/>
        </w:rPr>
        <w:t>Jaafar</w:t>
      </w:r>
      <w:proofErr w:type="spellEnd"/>
      <w:r w:rsidRPr="00BA2E27">
        <w:rPr>
          <w:color w:val="000000" w:themeColor="text1"/>
        </w:rPr>
        <w:t>, S. (2008). Educational assessment in Canada. </w:t>
      </w:r>
      <w:r w:rsidRPr="00BA2E27">
        <w:rPr>
          <w:i/>
          <w:iCs/>
          <w:color w:val="000000" w:themeColor="text1"/>
        </w:rPr>
        <w:t xml:space="preserve">Assessment in </w:t>
      </w:r>
    </w:p>
    <w:p w14:paraId="28C43FC8" w14:textId="3024794A" w:rsidR="00AD5D4A" w:rsidRDefault="00BA2E27" w:rsidP="00A11ED2">
      <w:pPr>
        <w:spacing w:line="480" w:lineRule="auto"/>
        <w:ind w:firstLine="720"/>
        <w:rPr>
          <w:color w:val="000000" w:themeColor="text1"/>
        </w:rPr>
      </w:pPr>
      <w:r w:rsidRPr="00BA2E27">
        <w:rPr>
          <w:i/>
          <w:iCs/>
          <w:color w:val="000000" w:themeColor="text1"/>
        </w:rPr>
        <w:t>Education: Principles, Policy &amp; Practice</w:t>
      </w:r>
      <w:r w:rsidRPr="00BA2E27">
        <w:rPr>
          <w:color w:val="000000" w:themeColor="text1"/>
        </w:rPr>
        <w:t>, </w:t>
      </w:r>
      <w:r w:rsidRPr="00BA2E27">
        <w:rPr>
          <w:i/>
          <w:iCs/>
          <w:color w:val="000000" w:themeColor="text1"/>
        </w:rPr>
        <w:t>15</w:t>
      </w:r>
      <w:r w:rsidRPr="00BA2E27">
        <w:rPr>
          <w:color w:val="000000" w:themeColor="text1"/>
        </w:rPr>
        <w:t>(2), 201-210.</w:t>
      </w:r>
    </w:p>
    <w:p w14:paraId="0BCFB546" w14:textId="77777777" w:rsidR="00AD5D4A" w:rsidRDefault="00AD5D4A" w:rsidP="00801D8B">
      <w:pPr>
        <w:spacing w:line="480" w:lineRule="auto"/>
        <w:outlineLvl w:val="0"/>
        <w:rPr>
          <w:color w:val="000000" w:themeColor="text1"/>
        </w:rPr>
      </w:pPr>
      <w:proofErr w:type="spellStart"/>
      <w:r w:rsidRPr="00AD5D4A">
        <w:rPr>
          <w:color w:val="000000" w:themeColor="text1"/>
        </w:rPr>
        <w:t>Waltman</w:t>
      </w:r>
      <w:proofErr w:type="spellEnd"/>
      <w:r w:rsidRPr="00AD5D4A">
        <w:rPr>
          <w:color w:val="000000" w:themeColor="text1"/>
        </w:rPr>
        <w:t xml:space="preserve">, K. K., &amp; </w:t>
      </w:r>
      <w:proofErr w:type="spellStart"/>
      <w:r w:rsidRPr="00AD5D4A">
        <w:rPr>
          <w:color w:val="000000" w:themeColor="text1"/>
        </w:rPr>
        <w:t>Frisbie</w:t>
      </w:r>
      <w:proofErr w:type="spellEnd"/>
      <w:r w:rsidRPr="00AD5D4A">
        <w:rPr>
          <w:color w:val="000000" w:themeColor="text1"/>
        </w:rPr>
        <w:t xml:space="preserve">, D. A. (1994). Parents' understanding of their children's report card </w:t>
      </w:r>
    </w:p>
    <w:p w14:paraId="7E501C8D" w14:textId="024DCD99" w:rsidR="00AD5D4A" w:rsidRDefault="00AD5D4A" w:rsidP="00A11ED2">
      <w:pPr>
        <w:spacing w:line="480" w:lineRule="auto"/>
        <w:ind w:firstLine="720"/>
        <w:rPr>
          <w:color w:val="000000" w:themeColor="text1"/>
        </w:rPr>
      </w:pPr>
      <w:r w:rsidRPr="00AD5D4A">
        <w:rPr>
          <w:color w:val="000000" w:themeColor="text1"/>
        </w:rPr>
        <w:t>grades. </w:t>
      </w:r>
      <w:r w:rsidRPr="00AD5D4A">
        <w:rPr>
          <w:i/>
          <w:iCs/>
          <w:color w:val="000000" w:themeColor="text1"/>
        </w:rPr>
        <w:t>Applied Measurement in Education</w:t>
      </w:r>
      <w:r w:rsidRPr="00AD5D4A">
        <w:rPr>
          <w:color w:val="000000" w:themeColor="text1"/>
        </w:rPr>
        <w:t>, </w:t>
      </w:r>
      <w:r w:rsidRPr="00AD5D4A">
        <w:rPr>
          <w:i/>
          <w:iCs/>
          <w:color w:val="000000" w:themeColor="text1"/>
        </w:rPr>
        <w:t>7</w:t>
      </w:r>
      <w:r w:rsidRPr="00AD5D4A">
        <w:rPr>
          <w:color w:val="000000" w:themeColor="text1"/>
        </w:rPr>
        <w:t>(3), 223-240.</w:t>
      </w:r>
    </w:p>
    <w:p w14:paraId="021C819B" w14:textId="77777777" w:rsidR="007E380B" w:rsidRDefault="007E380B" w:rsidP="00801D8B">
      <w:pPr>
        <w:spacing w:line="480" w:lineRule="auto"/>
        <w:rPr>
          <w:color w:val="000000" w:themeColor="text1"/>
        </w:rPr>
      </w:pPr>
      <w:r w:rsidRPr="007E380B">
        <w:rPr>
          <w:color w:val="000000" w:themeColor="text1"/>
        </w:rPr>
        <w:t xml:space="preserve">Willis, J. (2010). Assessment for learning as a participative pedagogy. </w:t>
      </w:r>
      <w:r w:rsidRPr="007E380B">
        <w:rPr>
          <w:i/>
          <w:color w:val="000000" w:themeColor="text1"/>
        </w:rPr>
        <w:t>Assessment Matters, 2</w:t>
      </w:r>
      <w:r w:rsidRPr="007E380B">
        <w:rPr>
          <w:color w:val="000000" w:themeColor="text1"/>
        </w:rPr>
        <w:t xml:space="preserve">, </w:t>
      </w:r>
    </w:p>
    <w:p w14:paraId="17061DA1" w14:textId="7DD52585" w:rsidR="005D6123" w:rsidRDefault="007E380B" w:rsidP="00A11ED2">
      <w:pPr>
        <w:spacing w:line="480" w:lineRule="auto"/>
        <w:ind w:firstLine="720"/>
        <w:rPr>
          <w:color w:val="000000" w:themeColor="text1"/>
        </w:rPr>
      </w:pPr>
      <w:r w:rsidRPr="007E380B">
        <w:rPr>
          <w:color w:val="000000" w:themeColor="text1"/>
        </w:rPr>
        <w:t>65–84.</w:t>
      </w:r>
    </w:p>
    <w:p w14:paraId="60A2F645" w14:textId="77777777" w:rsidR="00E970C0" w:rsidRDefault="00E970C0" w:rsidP="00801D8B">
      <w:pPr>
        <w:spacing w:line="480" w:lineRule="auto"/>
        <w:outlineLvl w:val="0"/>
        <w:rPr>
          <w:color w:val="000000" w:themeColor="text1"/>
        </w:rPr>
      </w:pPr>
      <w:proofErr w:type="spellStart"/>
      <w:r w:rsidRPr="00E970C0">
        <w:rPr>
          <w:color w:val="000000" w:themeColor="text1"/>
        </w:rPr>
        <w:t>Zoeckler</w:t>
      </w:r>
      <w:proofErr w:type="spellEnd"/>
      <w:r w:rsidRPr="00E970C0">
        <w:rPr>
          <w:color w:val="000000" w:themeColor="text1"/>
        </w:rPr>
        <w:t>, L. G. (2007). Moral aspects of grading: A study o</w:t>
      </w:r>
      <w:r>
        <w:rPr>
          <w:color w:val="000000" w:themeColor="text1"/>
        </w:rPr>
        <w:t xml:space="preserve">f high school English teachers' </w:t>
      </w:r>
    </w:p>
    <w:p w14:paraId="45E622A5" w14:textId="3ABD9DAF" w:rsidR="00E970C0" w:rsidRPr="00E970C0" w:rsidRDefault="00E970C0" w:rsidP="00801D8B">
      <w:pPr>
        <w:spacing w:line="480" w:lineRule="auto"/>
        <w:ind w:firstLine="720"/>
        <w:rPr>
          <w:color w:val="000000" w:themeColor="text1"/>
        </w:rPr>
      </w:pPr>
      <w:r w:rsidRPr="00E970C0">
        <w:rPr>
          <w:color w:val="000000" w:themeColor="text1"/>
        </w:rPr>
        <w:t>perceptions. </w:t>
      </w:r>
      <w:r w:rsidRPr="00E970C0">
        <w:rPr>
          <w:i/>
          <w:iCs/>
          <w:color w:val="000000" w:themeColor="text1"/>
        </w:rPr>
        <w:t>American Secondary Education</w:t>
      </w:r>
      <w:r w:rsidRPr="00E970C0">
        <w:rPr>
          <w:color w:val="000000" w:themeColor="text1"/>
        </w:rPr>
        <w:t>,</w:t>
      </w:r>
      <w:r w:rsidRPr="00392839">
        <w:rPr>
          <w:i/>
          <w:color w:val="000000" w:themeColor="text1"/>
        </w:rPr>
        <w:t xml:space="preserve"> </w:t>
      </w:r>
      <w:r w:rsidR="00392839" w:rsidRPr="00392839">
        <w:rPr>
          <w:i/>
          <w:color w:val="000000" w:themeColor="text1"/>
        </w:rPr>
        <w:t>32</w:t>
      </w:r>
      <w:r w:rsidR="00392839">
        <w:rPr>
          <w:color w:val="000000" w:themeColor="text1"/>
        </w:rPr>
        <w:t xml:space="preserve">(2), </w:t>
      </w:r>
      <w:r w:rsidRPr="00E970C0">
        <w:rPr>
          <w:color w:val="000000" w:themeColor="text1"/>
        </w:rPr>
        <w:t>83-102.</w:t>
      </w:r>
    </w:p>
    <w:p w14:paraId="434C9C9A" w14:textId="77777777" w:rsidR="00E970C0" w:rsidRPr="002620E4" w:rsidRDefault="00E970C0" w:rsidP="005D6123">
      <w:pPr>
        <w:rPr>
          <w:color w:val="000000" w:themeColor="text1"/>
        </w:rPr>
      </w:pPr>
    </w:p>
    <w:p w14:paraId="3B12C3B7" w14:textId="77777777" w:rsidR="00E43C3D" w:rsidRPr="00982B67" w:rsidRDefault="00E43C3D" w:rsidP="00982B67">
      <w:pPr>
        <w:spacing w:line="360" w:lineRule="auto"/>
        <w:contextualSpacing/>
      </w:pPr>
    </w:p>
    <w:p w14:paraId="57BE6A4F" w14:textId="77777777" w:rsidR="001A230E" w:rsidRDefault="001A230E">
      <w:pPr>
        <w:rPr>
          <w:b/>
        </w:rPr>
      </w:pPr>
      <w:r>
        <w:rPr>
          <w:b/>
        </w:rPr>
        <w:br w:type="page"/>
      </w:r>
    </w:p>
    <w:p w14:paraId="59EB0950" w14:textId="346A1755" w:rsidR="00E43C3D" w:rsidRDefault="00E43C3D" w:rsidP="008F4BB5">
      <w:pPr>
        <w:spacing w:line="360" w:lineRule="auto"/>
        <w:contextualSpacing/>
        <w:jc w:val="center"/>
        <w:outlineLvl w:val="0"/>
        <w:rPr>
          <w:b/>
        </w:rPr>
      </w:pPr>
      <w:r>
        <w:rPr>
          <w:b/>
        </w:rPr>
        <w:lastRenderedPageBreak/>
        <w:t xml:space="preserve">Appendix 1 </w:t>
      </w:r>
    </w:p>
    <w:p w14:paraId="2A33286A" w14:textId="77777777" w:rsidR="00CE1C2D" w:rsidRDefault="00CE1C2D" w:rsidP="001A230E">
      <w:pPr>
        <w:widowControl w:val="0"/>
        <w:tabs>
          <w:tab w:val="left" w:pos="3973"/>
        </w:tabs>
        <w:autoSpaceDE w:val="0"/>
        <w:autoSpaceDN w:val="0"/>
        <w:adjustRightInd w:val="0"/>
        <w:spacing w:line="300" w:lineRule="atLeast"/>
        <w:outlineLvl w:val="0"/>
        <w:rPr>
          <w:i/>
        </w:rPr>
      </w:pPr>
    </w:p>
    <w:p w14:paraId="3181CE83" w14:textId="77777777" w:rsidR="00CE1C2D" w:rsidRPr="00CE1C2D" w:rsidRDefault="00CE1C2D" w:rsidP="001A230E">
      <w:pPr>
        <w:widowControl w:val="0"/>
        <w:tabs>
          <w:tab w:val="left" w:pos="3973"/>
        </w:tabs>
        <w:autoSpaceDE w:val="0"/>
        <w:autoSpaceDN w:val="0"/>
        <w:adjustRightInd w:val="0"/>
        <w:spacing w:line="300" w:lineRule="atLeast"/>
        <w:outlineLvl w:val="0"/>
        <w:rPr>
          <w:i/>
        </w:rPr>
      </w:pPr>
      <w:r w:rsidRPr="00CE1C2D">
        <w:rPr>
          <w:i/>
        </w:rPr>
        <w:t>Table 1</w:t>
      </w:r>
    </w:p>
    <w:p w14:paraId="5F2DC5AB" w14:textId="7DB40ADB" w:rsidR="00CE1C2D" w:rsidRDefault="007B41F2" w:rsidP="001A230E">
      <w:pPr>
        <w:widowControl w:val="0"/>
        <w:tabs>
          <w:tab w:val="left" w:pos="3973"/>
        </w:tabs>
        <w:autoSpaceDE w:val="0"/>
        <w:autoSpaceDN w:val="0"/>
        <w:adjustRightInd w:val="0"/>
        <w:spacing w:line="300" w:lineRule="atLeast"/>
        <w:outlineLvl w:val="0"/>
        <w:rPr>
          <w:rFonts w:cs="Times"/>
          <w:i/>
        </w:rPr>
      </w:pPr>
      <w:r w:rsidRPr="00CE1C2D">
        <w:rPr>
          <w:i/>
        </w:rPr>
        <w:t>List of Policy Documents Reviewed</w:t>
      </w:r>
      <w:r w:rsidR="0053459A">
        <w:rPr>
          <w:i/>
        </w:rPr>
        <w:t xml:space="preserve"> and Province/Territory Abbreviation</w:t>
      </w:r>
      <w:r w:rsidR="00827243">
        <w:rPr>
          <w:i/>
        </w:rPr>
        <w:t>s</w:t>
      </w:r>
      <w:r w:rsidR="001A230E" w:rsidRPr="00CE1C2D">
        <w:rPr>
          <w:rFonts w:cs="Times"/>
          <w:i/>
        </w:rPr>
        <w:tab/>
      </w:r>
    </w:p>
    <w:p w14:paraId="07A244F3" w14:textId="77777777" w:rsidR="00CE1C2D" w:rsidRPr="00CE1C2D" w:rsidRDefault="00CE1C2D" w:rsidP="001A230E">
      <w:pPr>
        <w:widowControl w:val="0"/>
        <w:tabs>
          <w:tab w:val="left" w:pos="3973"/>
        </w:tabs>
        <w:autoSpaceDE w:val="0"/>
        <w:autoSpaceDN w:val="0"/>
        <w:adjustRightInd w:val="0"/>
        <w:spacing w:line="300" w:lineRule="atLeast"/>
        <w:outlineLvl w:val="0"/>
        <w:rPr>
          <w:rFonts w:cs="Times"/>
          <w:i/>
        </w:rPr>
      </w:pPr>
    </w:p>
    <w:tbl>
      <w:tblPr>
        <w:tblStyle w:val="TableGrid"/>
        <w:tblW w:w="102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297"/>
      </w:tblGrid>
      <w:tr w:rsidR="001A230E" w14:paraId="3E4072AA" w14:textId="77777777" w:rsidTr="00CE1C2D">
        <w:tc>
          <w:tcPr>
            <w:tcW w:w="1951" w:type="dxa"/>
            <w:tcBorders>
              <w:bottom w:val="single" w:sz="4" w:space="0" w:color="auto"/>
            </w:tcBorders>
          </w:tcPr>
          <w:p w14:paraId="6FEA34AE" w14:textId="77777777" w:rsidR="0053459A" w:rsidRDefault="001A230E" w:rsidP="008F4BB5">
            <w:pPr>
              <w:widowControl w:val="0"/>
              <w:autoSpaceDE w:val="0"/>
              <w:autoSpaceDN w:val="0"/>
              <w:adjustRightInd w:val="0"/>
              <w:spacing w:line="300" w:lineRule="atLeast"/>
              <w:outlineLvl w:val="0"/>
              <w:rPr>
                <w:rFonts w:cs="Times"/>
                <w:b/>
              </w:rPr>
            </w:pPr>
            <w:r>
              <w:rPr>
                <w:rFonts w:cs="Times"/>
                <w:b/>
              </w:rPr>
              <w:t>Province</w:t>
            </w:r>
            <w:r w:rsidR="0053459A">
              <w:rPr>
                <w:rFonts w:cs="Times"/>
                <w:b/>
              </w:rPr>
              <w:t>/</w:t>
            </w:r>
          </w:p>
          <w:p w14:paraId="5658EBCE" w14:textId="4F94D49E" w:rsidR="001A230E" w:rsidRDefault="0053459A" w:rsidP="008F4BB5">
            <w:pPr>
              <w:widowControl w:val="0"/>
              <w:autoSpaceDE w:val="0"/>
              <w:autoSpaceDN w:val="0"/>
              <w:adjustRightInd w:val="0"/>
              <w:spacing w:line="300" w:lineRule="atLeast"/>
              <w:outlineLvl w:val="0"/>
              <w:rPr>
                <w:rFonts w:cs="Times"/>
                <w:b/>
              </w:rPr>
            </w:pPr>
            <w:r>
              <w:rPr>
                <w:rFonts w:cs="Times"/>
                <w:b/>
              </w:rPr>
              <w:t>Territory &amp; Abbreviation</w:t>
            </w:r>
          </w:p>
        </w:tc>
        <w:tc>
          <w:tcPr>
            <w:tcW w:w="8297" w:type="dxa"/>
            <w:tcBorders>
              <w:bottom w:val="single" w:sz="4" w:space="0" w:color="auto"/>
            </w:tcBorders>
          </w:tcPr>
          <w:p w14:paraId="2C5B1BA6" w14:textId="3E2FD180" w:rsidR="001A230E" w:rsidRDefault="001A230E" w:rsidP="008F4BB5">
            <w:pPr>
              <w:widowControl w:val="0"/>
              <w:autoSpaceDE w:val="0"/>
              <w:autoSpaceDN w:val="0"/>
              <w:adjustRightInd w:val="0"/>
              <w:spacing w:line="300" w:lineRule="atLeast"/>
              <w:outlineLvl w:val="0"/>
              <w:rPr>
                <w:rFonts w:cs="Times"/>
                <w:b/>
              </w:rPr>
            </w:pPr>
            <w:r>
              <w:rPr>
                <w:rFonts w:cs="Times"/>
                <w:b/>
              </w:rPr>
              <w:t>Document</w:t>
            </w:r>
          </w:p>
        </w:tc>
      </w:tr>
      <w:tr w:rsidR="001A230E" w14:paraId="2F764E86" w14:textId="77777777" w:rsidTr="00CE1C2D">
        <w:tc>
          <w:tcPr>
            <w:tcW w:w="1951" w:type="dxa"/>
            <w:tcBorders>
              <w:top w:val="single" w:sz="4" w:space="0" w:color="auto"/>
              <w:bottom w:val="nil"/>
            </w:tcBorders>
          </w:tcPr>
          <w:p w14:paraId="54D5C635" w14:textId="1BAD902F" w:rsidR="001A230E" w:rsidRDefault="001A230E" w:rsidP="008F4BB5">
            <w:pPr>
              <w:widowControl w:val="0"/>
              <w:autoSpaceDE w:val="0"/>
              <w:autoSpaceDN w:val="0"/>
              <w:adjustRightInd w:val="0"/>
              <w:spacing w:line="300" w:lineRule="atLeast"/>
              <w:outlineLvl w:val="0"/>
              <w:rPr>
                <w:rFonts w:cs="Times"/>
                <w:b/>
              </w:rPr>
            </w:pPr>
            <w:r>
              <w:rPr>
                <w:rFonts w:cs="Times"/>
                <w:b/>
              </w:rPr>
              <w:t>Alberta</w:t>
            </w:r>
            <w:r w:rsidR="0053459A">
              <w:rPr>
                <w:rFonts w:cs="Times"/>
                <w:b/>
              </w:rPr>
              <w:t xml:space="preserve"> (AB)</w:t>
            </w:r>
          </w:p>
        </w:tc>
        <w:tc>
          <w:tcPr>
            <w:tcW w:w="8297" w:type="dxa"/>
            <w:tcBorders>
              <w:top w:val="single" w:sz="4" w:space="0" w:color="auto"/>
              <w:bottom w:val="nil"/>
            </w:tcBorders>
          </w:tcPr>
          <w:p w14:paraId="28F475FD" w14:textId="77777777" w:rsidR="008A2FC4" w:rsidRDefault="001A230E" w:rsidP="001A230E">
            <w:pPr>
              <w:rPr>
                <w:rFonts w:cs="Times"/>
              </w:rPr>
            </w:pPr>
            <w:r>
              <w:rPr>
                <w:rFonts w:cs="Times"/>
              </w:rPr>
              <w:t xml:space="preserve">Alberta Education. (2015). </w:t>
            </w:r>
            <w:r w:rsidRPr="00FA017D">
              <w:rPr>
                <w:rFonts w:cs="Times"/>
                <w:i/>
              </w:rPr>
              <w:t>Guide to Education</w:t>
            </w:r>
            <w:r>
              <w:rPr>
                <w:rFonts w:cs="Times"/>
              </w:rPr>
              <w:t xml:space="preserve">. </w:t>
            </w:r>
            <w:r w:rsidRPr="00F103B6">
              <w:rPr>
                <w:rFonts w:cs="Times"/>
                <w:i/>
              </w:rPr>
              <w:t>ECS to Grade 12</w:t>
            </w:r>
            <w:r>
              <w:rPr>
                <w:rFonts w:cs="Times"/>
              </w:rPr>
              <w:t xml:space="preserve">. Retrieved from </w:t>
            </w:r>
          </w:p>
          <w:p w14:paraId="5FAC9947" w14:textId="455F28E0" w:rsidR="001A230E" w:rsidRDefault="001A230E" w:rsidP="008A2FC4">
            <w:pPr>
              <w:ind w:left="1184" w:hanging="464"/>
              <w:rPr>
                <w:rFonts w:cs="Times"/>
              </w:rPr>
            </w:pPr>
            <w:r w:rsidRPr="00FA017D">
              <w:rPr>
                <w:rFonts w:cs="Times"/>
              </w:rPr>
              <w:t>https://education.alberta.ca/guide-to-education/</w:t>
            </w:r>
          </w:p>
          <w:p w14:paraId="2821B054" w14:textId="6794E53D" w:rsidR="001A230E" w:rsidRDefault="001A230E" w:rsidP="001A230E">
            <w:pPr>
              <w:rPr>
                <w:rFonts w:cs="Times"/>
                <w:b/>
              </w:rPr>
            </w:pPr>
          </w:p>
        </w:tc>
      </w:tr>
      <w:tr w:rsidR="001A230E" w14:paraId="5CD2A51E" w14:textId="77777777" w:rsidTr="00CE1C2D">
        <w:tc>
          <w:tcPr>
            <w:tcW w:w="1951" w:type="dxa"/>
            <w:tcBorders>
              <w:top w:val="nil"/>
            </w:tcBorders>
          </w:tcPr>
          <w:p w14:paraId="68AF3382" w14:textId="6C812C4B" w:rsidR="001A230E" w:rsidRDefault="001A230E" w:rsidP="008F4BB5">
            <w:pPr>
              <w:widowControl w:val="0"/>
              <w:autoSpaceDE w:val="0"/>
              <w:autoSpaceDN w:val="0"/>
              <w:adjustRightInd w:val="0"/>
              <w:spacing w:line="300" w:lineRule="atLeast"/>
              <w:outlineLvl w:val="0"/>
              <w:rPr>
                <w:rFonts w:cs="Times"/>
                <w:b/>
              </w:rPr>
            </w:pPr>
            <w:r>
              <w:rPr>
                <w:rFonts w:cs="Times"/>
                <w:b/>
              </w:rPr>
              <w:t>British Columbia</w:t>
            </w:r>
            <w:r w:rsidR="0053459A">
              <w:rPr>
                <w:rFonts w:cs="Times"/>
                <w:b/>
              </w:rPr>
              <w:t xml:space="preserve"> (BC)</w:t>
            </w:r>
          </w:p>
        </w:tc>
        <w:tc>
          <w:tcPr>
            <w:tcW w:w="8297" w:type="dxa"/>
            <w:tcBorders>
              <w:top w:val="nil"/>
            </w:tcBorders>
          </w:tcPr>
          <w:p w14:paraId="7E1B07FE" w14:textId="77777777" w:rsidR="008A2FC4" w:rsidRDefault="001A230E" w:rsidP="008A2FC4">
            <w:pPr>
              <w:rPr>
                <w:i/>
              </w:rPr>
            </w:pPr>
            <w:r>
              <w:t xml:space="preserve">British Columbia Ministry of Education. (2009). </w:t>
            </w:r>
            <w:r w:rsidRPr="00E54FEE">
              <w:rPr>
                <w:i/>
              </w:rPr>
              <w:t xml:space="preserve">Reporting student progress: </w:t>
            </w:r>
          </w:p>
          <w:p w14:paraId="14C7B89F" w14:textId="394C0AF4" w:rsidR="00B76F88" w:rsidRDefault="001A230E" w:rsidP="008A2FC4">
            <w:pPr>
              <w:ind w:left="720"/>
            </w:pPr>
            <w:r w:rsidRPr="00E54FEE">
              <w:rPr>
                <w:i/>
              </w:rPr>
              <w:t>Policy and practice</w:t>
            </w:r>
            <w:r>
              <w:t xml:space="preserve">. Retrieved from </w:t>
            </w:r>
            <w:r w:rsidR="00B76F88" w:rsidRPr="00B76F88">
              <w:t>https://www.bced.gov.bc.ca/classroom_</w:t>
            </w:r>
          </w:p>
          <w:p w14:paraId="7C6880DE" w14:textId="4D027B1C" w:rsidR="001A230E" w:rsidRPr="001A230E" w:rsidRDefault="001A230E" w:rsidP="008A2FC4">
            <w:pPr>
              <w:ind w:left="720"/>
              <w:rPr>
                <w:i/>
              </w:rPr>
            </w:pPr>
            <w:r w:rsidRPr="008D1F0E">
              <w:t>assessment/</w:t>
            </w:r>
            <w:r>
              <w:t>09_report_student_prog.pdf</w:t>
            </w:r>
          </w:p>
          <w:p w14:paraId="2457F159" w14:textId="77777777" w:rsidR="001A230E" w:rsidRDefault="001A230E" w:rsidP="008F4BB5">
            <w:pPr>
              <w:widowControl w:val="0"/>
              <w:autoSpaceDE w:val="0"/>
              <w:autoSpaceDN w:val="0"/>
              <w:adjustRightInd w:val="0"/>
              <w:spacing w:line="300" w:lineRule="atLeast"/>
              <w:outlineLvl w:val="0"/>
              <w:rPr>
                <w:rFonts w:cs="Times"/>
                <w:b/>
              </w:rPr>
            </w:pPr>
          </w:p>
        </w:tc>
      </w:tr>
      <w:tr w:rsidR="001A230E" w14:paraId="22A8BC60" w14:textId="77777777" w:rsidTr="007B41F2">
        <w:tc>
          <w:tcPr>
            <w:tcW w:w="1951" w:type="dxa"/>
          </w:tcPr>
          <w:p w14:paraId="18155C2C" w14:textId="328D358E" w:rsidR="001A230E" w:rsidRDefault="001A230E" w:rsidP="008F4BB5">
            <w:pPr>
              <w:widowControl w:val="0"/>
              <w:autoSpaceDE w:val="0"/>
              <w:autoSpaceDN w:val="0"/>
              <w:adjustRightInd w:val="0"/>
              <w:spacing w:line="300" w:lineRule="atLeast"/>
              <w:outlineLvl w:val="0"/>
              <w:rPr>
                <w:rFonts w:cs="Times"/>
                <w:b/>
              </w:rPr>
            </w:pPr>
            <w:r>
              <w:rPr>
                <w:rFonts w:cs="Times"/>
                <w:b/>
              </w:rPr>
              <w:t>Manitoba</w:t>
            </w:r>
            <w:r w:rsidR="0053459A">
              <w:rPr>
                <w:rFonts w:cs="Times"/>
                <w:b/>
              </w:rPr>
              <w:t xml:space="preserve"> (MB)</w:t>
            </w:r>
          </w:p>
        </w:tc>
        <w:tc>
          <w:tcPr>
            <w:tcW w:w="8297" w:type="dxa"/>
          </w:tcPr>
          <w:p w14:paraId="354D17B8" w14:textId="77777777" w:rsidR="00B76F88" w:rsidRDefault="001A230E" w:rsidP="001A230E">
            <w:r w:rsidRPr="00C558E7">
              <w:t>Department of Manitoba E</w:t>
            </w:r>
            <w:r>
              <w:t>ducation, Citizenship and Youth.</w:t>
            </w:r>
            <w:r w:rsidRPr="00C558E7">
              <w:t xml:space="preserve"> </w:t>
            </w:r>
            <w:r>
              <w:t xml:space="preserve">(2008). </w:t>
            </w:r>
          </w:p>
          <w:p w14:paraId="4FCB2DC5" w14:textId="78C6AA77" w:rsidR="000709F9" w:rsidRDefault="001A230E" w:rsidP="000709F9">
            <w:pPr>
              <w:ind w:left="720"/>
            </w:pPr>
            <w:r>
              <w:rPr>
                <w:i/>
              </w:rPr>
              <w:t>Communicating Student Learning</w:t>
            </w:r>
            <w:r>
              <w:t xml:space="preserve">. Retrieved from </w:t>
            </w:r>
            <w:r w:rsidR="000709F9" w:rsidRPr="000709F9">
              <w:t>http://www.edu.gov</w:t>
            </w:r>
            <w:r w:rsidRPr="002B73B0">
              <w:t>.</w:t>
            </w:r>
          </w:p>
          <w:p w14:paraId="7A4477F1" w14:textId="40A7C811" w:rsidR="001A230E" w:rsidRPr="000709F9" w:rsidRDefault="001A230E" w:rsidP="000709F9">
            <w:pPr>
              <w:ind w:left="720"/>
            </w:pPr>
            <w:r w:rsidRPr="002B73B0">
              <w:t>mb.ca/</w:t>
            </w:r>
            <w:proofErr w:type="spellStart"/>
            <w:r w:rsidRPr="002B73B0">
              <w:t>k12</w:t>
            </w:r>
            <w:proofErr w:type="spellEnd"/>
            <w:r w:rsidRPr="002B73B0">
              <w:t>/assess/docs/</w:t>
            </w:r>
            <w:proofErr w:type="spellStart"/>
            <w:r w:rsidRPr="002B73B0">
              <w:t>csl</w:t>
            </w:r>
            <w:proofErr w:type="spellEnd"/>
            <w:r>
              <w:t xml:space="preserve"> </w:t>
            </w:r>
            <w:r w:rsidRPr="002B73B0">
              <w:t>/csl_doc.pdf</w:t>
            </w:r>
          </w:p>
          <w:p w14:paraId="5E0C07B1" w14:textId="77777777" w:rsidR="001A230E" w:rsidRDefault="001A230E" w:rsidP="008F4BB5">
            <w:pPr>
              <w:widowControl w:val="0"/>
              <w:autoSpaceDE w:val="0"/>
              <w:autoSpaceDN w:val="0"/>
              <w:adjustRightInd w:val="0"/>
              <w:spacing w:line="300" w:lineRule="atLeast"/>
              <w:outlineLvl w:val="0"/>
              <w:rPr>
                <w:rFonts w:cs="Times"/>
                <w:b/>
              </w:rPr>
            </w:pPr>
          </w:p>
          <w:p w14:paraId="761BE509" w14:textId="77777777" w:rsidR="00B76F88" w:rsidRDefault="001A230E" w:rsidP="001A230E">
            <w:pPr>
              <w:rPr>
                <w:i/>
              </w:rPr>
            </w:pPr>
            <w:r w:rsidRPr="007B1A84">
              <w:t xml:space="preserve">Manitoba </w:t>
            </w:r>
            <w:r>
              <w:t xml:space="preserve">Education and Advanced Learning. </w:t>
            </w:r>
            <w:r w:rsidRPr="00EC6D1D">
              <w:t>(2015).</w:t>
            </w:r>
            <w:r>
              <w:rPr>
                <w:i/>
              </w:rPr>
              <w:t xml:space="preserve"> Provincial Assessment and </w:t>
            </w:r>
          </w:p>
          <w:p w14:paraId="78869721" w14:textId="32561B11" w:rsidR="000709F9" w:rsidRDefault="001A230E" w:rsidP="00B76F88">
            <w:pPr>
              <w:ind w:left="720"/>
            </w:pPr>
            <w:r>
              <w:rPr>
                <w:i/>
              </w:rPr>
              <w:t>Policy. Kindergarten to Grade 12</w:t>
            </w:r>
            <w:r>
              <w:t xml:space="preserve">. Retrieved from </w:t>
            </w:r>
            <w:r w:rsidR="000709F9" w:rsidRPr="000709F9">
              <w:t>http://www.edu.gov</w:t>
            </w:r>
            <w:r w:rsidRPr="00C000D0">
              <w:t>.</w:t>
            </w:r>
          </w:p>
          <w:p w14:paraId="661212B9" w14:textId="5E60CF96" w:rsidR="001A230E" w:rsidRPr="007B1A84" w:rsidRDefault="001A230E" w:rsidP="00B76F88">
            <w:pPr>
              <w:ind w:left="720"/>
            </w:pPr>
            <w:r w:rsidRPr="00C000D0">
              <w:t>mb.ca/k12/assess/docs/policy_k12/</w:t>
            </w:r>
          </w:p>
          <w:p w14:paraId="0BA29790" w14:textId="77777777" w:rsidR="001A230E" w:rsidRDefault="001A230E" w:rsidP="008F4BB5">
            <w:pPr>
              <w:widowControl w:val="0"/>
              <w:autoSpaceDE w:val="0"/>
              <w:autoSpaceDN w:val="0"/>
              <w:adjustRightInd w:val="0"/>
              <w:spacing w:line="300" w:lineRule="atLeast"/>
              <w:outlineLvl w:val="0"/>
              <w:rPr>
                <w:rFonts w:cs="Times"/>
                <w:b/>
              </w:rPr>
            </w:pPr>
          </w:p>
          <w:p w14:paraId="77AABE61" w14:textId="77777777" w:rsidR="00234FC1" w:rsidRDefault="001A230E" w:rsidP="001A230E">
            <w:pPr>
              <w:rPr>
                <w:i/>
              </w:rPr>
            </w:pPr>
            <w:r w:rsidRPr="00A562D7">
              <w:t>Department of Manitoba Education, Citizenship and Youth</w:t>
            </w:r>
            <w:r>
              <w:t>.</w:t>
            </w:r>
            <w:r w:rsidRPr="00A562D7">
              <w:t xml:space="preserve"> </w:t>
            </w:r>
            <w:r>
              <w:t>(</w:t>
            </w:r>
            <w:r w:rsidRPr="00A562D7">
              <w:t>2006</w:t>
            </w:r>
            <w:r>
              <w:t xml:space="preserve">). </w:t>
            </w:r>
            <w:r>
              <w:rPr>
                <w:i/>
              </w:rPr>
              <w:t xml:space="preserve">Rethinking </w:t>
            </w:r>
          </w:p>
          <w:p w14:paraId="55E6BD57" w14:textId="6C568253" w:rsidR="001A230E" w:rsidRPr="00EE1320" w:rsidRDefault="001A230E" w:rsidP="00234FC1">
            <w:pPr>
              <w:ind w:left="720"/>
            </w:pPr>
            <w:r>
              <w:rPr>
                <w:i/>
              </w:rPr>
              <w:t>Classroom Assessment with Purpose in Mind</w:t>
            </w:r>
            <w:r w:rsidRPr="00EE1320">
              <w:t>.</w:t>
            </w:r>
            <w:r>
              <w:rPr>
                <w:i/>
              </w:rPr>
              <w:t xml:space="preserve"> </w:t>
            </w:r>
            <w:r>
              <w:t xml:space="preserve">Retrieved from </w:t>
            </w:r>
            <w:r w:rsidRPr="00EE1320">
              <w:t>http://www.edu.gov.mb.ca/k12/assess/wncp/</w:t>
            </w:r>
          </w:p>
          <w:p w14:paraId="067DC986" w14:textId="77777777" w:rsidR="001A230E" w:rsidRDefault="001A230E" w:rsidP="008F4BB5">
            <w:pPr>
              <w:widowControl w:val="0"/>
              <w:autoSpaceDE w:val="0"/>
              <w:autoSpaceDN w:val="0"/>
              <w:adjustRightInd w:val="0"/>
              <w:spacing w:line="300" w:lineRule="atLeast"/>
              <w:outlineLvl w:val="0"/>
              <w:rPr>
                <w:rFonts w:cs="Times"/>
                <w:b/>
              </w:rPr>
            </w:pPr>
          </w:p>
        </w:tc>
      </w:tr>
      <w:tr w:rsidR="001A230E" w14:paraId="78F24FF5" w14:textId="77777777" w:rsidTr="007B41F2">
        <w:tc>
          <w:tcPr>
            <w:tcW w:w="1951" w:type="dxa"/>
          </w:tcPr>
          <w:p w14:paraId="3E4F662C" w14:textId="6E4C493F" w:rsidR="001A230E" w:rsidRDefault="001A230E" w:rsidP="001A230E">
            <w:pPr>
              <w:widowControl w:val="0"/>
              <w:autoSpaceDE w:val="0"/>
              <w:autoSpaceDN w:val="0"/>
              <w:adjustRightInd w:val="0"/>
              <w:spacing w:line="300" w:lineRule="atLeast"/>
              <w:outlineLvl w:val="0"/>
              <w:rPr>
                <w:rFonts w:cs="Times"/>
                <w:b/>
              </w:rPr>
            </w:pPr>
            <w:r>
              <w:rPr>
                <w:rFonts w:cs="Times"/>
                <w:b/>
              </w:rPr>
              <w:t>New Brunswick</w:t>
            </w:r>
            <w:r w:rsidR="0053459A">
              <w:rPr>
                <w:rFonts w:cs="Times"/>
                <w:b/>
              </w:rPr>
              <w:t xml:space="preserve"> (NB)</w:t>
            </w:r>
          </w:p>
        </w:tc>
        <w:tc>
          <w:tcPr>
            <w:tcW w:w="8297" w:type="dxa"/>
          </w:tcPr>
          <w:p w14:paraId="71B1F0AD" w14:textId="77777777" w:rsidR="00845D41" w:rsidRDefault="001A230E" w:rsidP="001A230E">
            <w:pPr>
              <w:rPr>
                <w:lang w:val="en-CA"/>
              </w:rPr>
            </w:pPr>
            <w:r w:rsidRPr="008B5AE1">
              <w:rPr>
                <w:lang w:val="en-CA"/>
              </w:rPr>
              <w:t>New Brunswick Department of Education and Early Chi</w:t>
            </w:r>
            <w:r>
              <w:rPr>
                <w:lang w:val="en-CA"/>
              </w:rPr>
              <w:t xml:space="preserve">ldhood Development. </w:t>
            </w:r>
          </w:p>
          <w:p w14:paraId="376A75A2" w14:textId="526B1089" w:rsidR="001A230E" w:rsidRPr="008B5AE1" w:rsidRDefault="001A230E" w:rsidP="00845D41">
            <w:pPr>
              <w:ind w:left="720"/>
              <w:rPr>
                <w:lang w:val="en-CA"/>
              </w:rPr>
            </w:pPr>
            <w:r>
              <w:rPr>
                <w:lang w:val="en-CA"/>
              </w:rPr>
              <w:t xml:space="preserve">(2013). </w:t>
            </w:r>
            <w:r w:rsidRPr="001A230E">
              <w:rPr>
                <w:i/>
                <w:lang w:val="en-CA"/>
              </w:rPr>
              <w:t>Framework for provincial assessments</w:t>
            </w:r>
            <w:r w:rsidRPr="008B5AE1">
              <w:rPr>
                <w:lang w:val="en-CA"/>
              </w:rPr>
              <w:t>. Retrieved from http://www.gnb.ca/0000/results/pdf/AssessmentFrameworkDocument.pdf</w:t>
            </w:r>
          </w:p>
          <w:p w14:paraId="0A2F92EF" w14:textId="77777777" w:rsidR="001A230E" w:rsidRDefault="001A230E" w:rsidP="001A230E"/>
          <w:p w14:paraId="5946CCD6" w14:textId="77777777" w:rsidR="00845D41" w:rsidRDefault="001A230E" w:rsidP="001A230E">
            <w:r>
              <w:t>New Brunswick</w:t>
            </w:r>
            <w:r w:rsidRPr="008B5AE1">
              <w:t xml:space="preserve"> </w:t>
            </w:r>
            <w:r w:rsidRPr="008B5AE1">
              <w:rPr>
                <w:lang w:val="en-CA"/>
              </w:rPr>
              <w:t>Department of Education and Early Chi</w:t>
            </w:r>
            <w:r>
              <w:rPr>
                <w:lang w:val="en-CA"/>
              </w:rPr>
              <w:t>ldhood Development</w:t>
            </w:r>
            <w:r w:rsidRPr="008B5AE1">
              <w:t xml:space="preserve"> </w:t>
            </w:r>
          </w:p>
          <w:p w14:paraId="229E5A38" w14:textId="259E1E0B" w:rsidR="00845D41" w:rsidRDefault="001A230E" w:rsidP="00845D41">
            <w:pPr>
              <w:ind w:left="720"/>
            </w:pPr>
            <w:r>
              <w:t>(2013). A</w:t>
            </w:r>
            <w:r w:rsidRPr="008B5AE1">
              <w:t>ssessment po</w:t>
            </w:r>
            <w:r>
              <w:t xml:space="preserve">licy statement 331. Retrieved from </w:t>
            </w:r>
            <w:r w:rsidR="00845D41" w:rsidRPr="00845D41">
              <w:t>http://web1.nbed</w:t>
            </w:r>
            <w:r w:rsidRPr="00907F31">
              <w:t>.</w:t>
            </w:r>
          </w:p>
          <w:p w14:paraId="3B79B163" w14:textId="2FF7EB9D" w:rsidR="001A230E" w:rsidRPr="00907F31" w:rsidRDefault="001A230E" w:rsidP="00845D41">
            <w:pPr>
              <w:ind w:left="720"/>
            </w:pPr>
            <w:r w:rsidRPr="00907F31">
              <w:t>nb.ca/sites/ASD-E/policies/District%</w:t>
            </w:r>
            <w:r w:rsidRPr="0092753A">
              <w:t>20Policies/331n.pdf</w:t>
            </w:r>
          </w:p>
          <w:p w14:paraId="070F81C6" w14:textId="77777777" w:rsidR="001A230E" w:rsidRDefault="001A230E" w:rsidP="008F4BB5">
            <w:pPr>
              <w:widowControl w:val="0"/>
              <w:autoSpaceDE w:val="0"/>
              <w:autoSpaceDN w:val="0"/>
              <w:adjustRightInd w:val="0"/>
              <w:spacing w:line="300" w:lineRule="atLeast"/>
              <w:outlineLvl w:val="0"/>
              <w:rPr>
                <w:rFonts w:cs="Times"/>
                <w:b/>
              </w:rPr>
            </w:pPr>
          </w:p>
        </w:tc>
      </w:tr>
      <w:tr w:rsidR="001A230E" w14:paraId="78A24E6C" w14:textId="77777777" w:rsidTr="007B41F2">
        <w:tc>
          <w:tcPr>
            <w:tcW w:w="1951" w:type="dxa"/>
          </w:tcPr>
          <w:p w14:paraId="02F271B4" w14:textId="141859A6" w:rsidR="001A230E" w:rsidRDefault="001A230E" w:rsidP="001A230E">
            <w:pPr>
              <w:widowControl w:val="0"/>
              <w:autoSpaceDE w:val="0"/>
              <w:autoSpaceDN w:val="0"/>
              <w:adjustRightInd w:val="0"/>
              <w:spacing w:line="300" w:lineRule="atLeast"/>
              <w:outlineLvl w:val="0"/>
              <w:rPr>
                <w:rFonts w:cs="Times"/>
                <w:b/>
              </w:rPr>
            </w:pPr>
            <w:r>
              <w:rPr>
                <w:rFonts w:cs="Times"/>
                <w:b/>
              </w:rPr>
              <w:t>Newfoundland and Labrador</w:t>
            </w:r>
            <w:r w:rsidR="0053459A">
              <w:rPr>
                <w:rFonts w:cs="Times"/>
                <w:b/>
              </w:rPr>
              <w:t xml:space="preserve"> (NFL)</w:t>
            </w:r>
          </w:p>
        </w:tc>
        <w:tc>
          <w:tcPr>
            <w:tcW w:w="8297" w:type="dxa"/>
          </w:tcPr>
          <w:p w14:paraId="3DF3526E" w14:textId="77777777" w:rsidR="00845D41" w:rsidRDefault="001A230E" w:rsidP="001A230E">
            <w:pPr>
              <w:outlineLvl w:val="0"/>
              <w:rPr>
                <w:i/>
                <w:lang w:val="en-CA"/>
              </w:rPr>
            </w:pPr>
            <w:r>
              <w:rPr>
                <w:lang w:val="en-CA"/>
              </w:rPr>
              <w:t xml:space="preserve">Newfoundland and Labrador Department of Education. (2013).  </w:t>
            </w:r>
            <w:r>
              <w:rPr>
                <w:i/>
                <w:lang w:val="en-CA"/>
              </w:rPr>
              <w:t xml:space="preserve">K – 12 student </w:t>
            </w:r>
          </w:p>
          <w:p w14:paraId="4ADBD793" w14:textId="574D2679" w:rsidR="001A230E" w:rsidRPr="008B5AE1" w:rsidRDefault="001A230E" w:rsidP="00845D41">
            <w:pPr>
              <w:ind w:left="720"/>
              <w:outlineLvl w:val="0"/>
              <w:rPr>
                <w:lang w:val="en-CA"/>
              </w:rPr>
            </w:pPr>
            <w:r>
              <w:rPr>
                <w:i/>
                <w:lang w:val="en-CA"/>
              </w:rPr>
              <w:t>assessment, evaluation and grading p</w:t>
            </w:r>
            <w:r w:rsidRPr="004C63E4">
              <w:rPr>
                <w:i/>
                <w:lang w:val="en-CA"/>
              </w:rPr>
              <w:t>olicy</w:t>
            </w:r>
            <w:r>
              <w:rPr>
                <w:lang w:val="en-CA"/>
              </w:rPr>
              <w:t xml:space="preserve">. Retrieved from </w:t>
            </w:r>
            <w:r w:rsidR="00845D41" w:rsidRPr="00845D41">
              <w:rPr>
                <w:lang w:val="en-CA"/>
              </w:rPr>
              <w:t>https://www.nlesd.ca</w:t>
            </w:r>
            <w:r w:rsidRPr="005F22D5">
              <w:rPr>
                <w:lang w:val="en-CA"/>
              </w:rPr>
              <w:t>/about/doc/policies/archive/labrador/112.pdf</w:t>
            </w:r>
          </w:p>
          <w:p w14:paraId="2A00B812" w14:textId="77777777" w:rsidR="001A230E" w:rsidRDefault="001A230E" w:rsidP="008F4BB5">
            <w:pPr>
              <w:widowControl w:val="0"/>
              <w:autoSpaceDE w:val="0"/>
              <w:autoSpaceDN w:val="0"/>
              <w:adjustRightInd w:val="0"/>
              <w:spacing w:line="300" w:lineRule="atLeast"/>
              <w:outlineLvl w:val="0"/>
              <w:rPr>
                <w:rFonts w:cs="Times"/>
                <w:b/>
              </w:rPr>
            </w:pPr>
          </w:p>
        </w:tc>
      </w:tr>
      <w:tr w:rsidR="001A230E" w14:paraId="7C1DAE3D" w14:textId="77777777" w:rsidTr="007B41F2">
        <w:tc>
          <w:tcPr>
            <w:tcW w:w="1951" w:type="dxa"/>
          </w:tcPr>
          <w:p w14:paraId="40DFDAEC" w14:textId="0533FFF0" w:rsidR="001A230E" w:rsidRDefault="001A230E" w:rsidP="008F4BB5">
            <w:pPr>
              <w:widowControl w:val="0"/>
              <w:autoSpaceDE w:val="0"/>
              <w:autoSpaceDN w:val="0"/>
              <w:adjustRightInd w:val="0"/>
              <w:spacing w:line="300" w:lineRule="atLeast"/>
              <w:outlineLvl w:val="0"/>
              <w:rPr>
                <w:rFonts w:cs="Times"/>
                <w:b/>
              </w:rPr>
            </w:pPr>
            <w:r>
              <w:rPr>
                <w:rFonts w:cs="Times"/>
                <w:b/>
              </w:rPr>
              <w:t>North West Territories</w:t>
            </w:r>
            <w:r w:rsidR="0053459A">
              <w:rPr>
                <w:rFonts w:cs="Times"/>
                <w:b/>
              </w:rPr>
              <w:t xml:space="preserve"> (NWT)</w:t>
            </w:r>
          </w:p>
        </w:tc>
        <w:tc>
          <w:tcPr>
            <w:tcW w:w="8297" w:type="dxa"/>
          </w:tcPr>
          <w:p w14:paraId="45C9C6A6" w14:textId="77777777" w:rsidR="00845D41" w:rsidRDefault="001A230E" w:rsidP="001A230E">
            <w:pPr>
              <w:widowControl w:val="0"/>
              <w:autoSpaceDE w:val="0"/>
              <w:autoSpaceDN w:val="0"/>
              <w:adjustRightInd w:val="0"/>
              <w:spacing w:after="240"/>
              <w:contextualSpacing/>
              <w:outlineLvl w:val="0"/>
              <w:rPr>
                <w:rFonts w:cs="Times"/>
                <w:bCs/>
                <w:i/>
              </w:rPr>
            </w:pPr>
            <w:r w:rsidRPr="00CB5D08">
              <w:rPr>
                <w:bCs/>
              </w:rPr>
              <w:t>Department of Education, Culture &amp; Employment</w:t>
            </w:r>
            <w:r w:rsidRPr="00CB5D08">
              <w:rPr>
                <w:rFonts w:cs="Times"/>
                <w:bCs/>
              </w:rPr>
              <w:t>.</w:t>
            </w:r>
            <w:r>
              <w:rPr>
                <w:rFonts w:cs="Times"/>
                <w:bCs/>
              </w:rPr>
              <w:t xml:space="preserve"> (2011-2012).</w:t>
            </w:r>
            <w:r w:rsidRPr="00021CD7">
              <w:rPr>
                <w:rFonts w:cs="Times"/>
                <w:bCs/>
                <w:i/>
              </w:rPr>
              <w:t xml:space="preserve"> Educating All Our </w:t>
            </w:r>
          </w:p>
          <w:p w14:paraId="39323FEE" w14:textId="68D6AE36" w:rsidR="001A230E" w:rsidRPr="002823A8" w:rsidRDefault="001A230E" w:rsidP="00845D41">
            <w:pPr>
              <w:widowControl w:val="0"/>
              <w:autoSpaceDE w:val="0"/>
              <w:autoSpaceDN w:val="0"/>
              <w:adjustRightInd w:val="0"/>
              <w:spacing w:after="240"/>
              <w:ind w:left="720"/>
              <w:contextualSpacing/>
              <w:outlineLvl w:val="0"/>
              <w:rPr>
                <w:rFonts w:cs="Times"/>
                <w:bCs/>
                <w:i/>
              </w:rPr>
            </w:pPr>
            <w:r w:rsidRPr="00021CD7">
              <w:rPr>
                <w:rFonts w:cs="Times"/>
                <w:bCs/>
                <w:i/>
              </w:rPr>
              <w:t>Children: Procedures, Roles and Responsib</w:t>
            </w:r>
            <w:r>
              <w:rPr>
                <w:rFonts w:cs="Times"/>
                <w:bCs/>
                <w:i/>
              </w:rPr>
              <w:t xml:space="preserve">ilities for Student Assessment, Evaluation and Reporting.  </w:t>
            </w:r>
          </w:p>
          <w:p w14:paraId="57CB5EFB" w14:textId="77777777" w:rsidR="001A230E" w:rsidRDefault="001A230E" w:rsidP="001A230E">
            <w:pPr>
              <w:widowControl w:val="0"/>
              <w:autoSpaceDE w:val="0"/>
              <w:autoSpaceDN w:val="0"/>
              <w:adjustRightInd w:val="0"/>
              <w:spacing w:after="240"/>
              <w:ind w:firstLine="720"/>
              <w:contextualSpacing/>
              <w:rPr>
                <w:rFonts w:cs="Times"/>
                <w:bCs/>
                <w:i/>
              </w:rPr>
            </w:pPr>
          </w:p>
          <w:p w14:paraId="202B7152" w14:textId="77777777" w:rsidR="003170E4" w:rsidRDefault="001A230E" w:rsidP="001A230E">
            <w:pPr>
              <w:outlineLvl w:val="0"/>
              <w:rPr>
                <w:i/>
              </w:rPr>
            </w:pPr>
            <w:r w:rsidRPr="00CB5D08">
              <w:rPr>
                <w:bCs/>
              </w:rPr>
              <w:t>Department of Education, Culture &amp; Employment</w:t>
            </w:r>
            <w:r>
              <w:rPr>
                <w:rFonts w:cs="Times"/>
                <w:bCs/>
              </w:rPr>
              <w:t xml:space="preserve">. (2010). </w:t>
            </w:r>
            <w:r w:rsidRPr="00162258">
              <w:rPr>
                <w:i/>
              </w:rPr>
              <w:t xml:space="preserve">Educating All Our </w:t>
            </w:r>
          </w:p>
          <w:p w14:paraId="32B79778" w14:textId="3DA71940" w:rsidR="001A230E" w:rsidRPr="00250197" w:rsidRDefault="001A230E" w:rsidP="003170E4">
            <w:pPr>
              <w:ind w:left="720"/>
              <w:outlineLvl w:val="0"/>
              <w:rPr>
                <w:i/>
              </w:rPr>
            </w:pPr>
            <w:r w:rsidRPr="00162258">
              <w:rPr>
                <w:i/>
              </w:rPr>
              <w:t xml:space="preserve">Children: Departmental Directive on Student Assessment, Evaluation and </w:t>
            </w:r>
            <w:r w:rsidRPr="00162258">
              <w:rPr>
                <w:i/>
              </w:rPr>
              <w:lastRenderedPageBreak/>
              <w:t>Reporting</w:t>
            </w:r>
            <w:r>
              <w:t>.</w:t>
            </w:r>
          </w:p>
          <w:p w14:paraId="66DE6035" w14:textId="77777777" w:rsidR="001A230E" w:rsidRDefault="001A230E" w:rsidP="001A230E">
            <w:pPr>
              <w:rPr>
                <w:lang w:val="en-CA"/>
              </w:rPr>
            </w:pPr>
          </w:p>
        </w:tc>
      </w:tr>
      <w:tr w:rsidR="001A230E" w14:paraId="4FD12A84" w14:textId="77777777" w:rsidTr="007B41F2">
        <w:tc>
          <w:tcPr>
            <w:tcW w:w="1951" w:type="dxa"/>
          </w:tcPr>
          <w:p w14:paraId="05A78BCF" w14:textId="36EE4A5E" w:rsidR="001A230E" w:rsidRDefault="001A230E" w:rsidP="008F4BB5">
            <w:pPr>
              <w:widowControl w:val="0"/>
              <w:autoSpaceDE w:val="0"/>
              <w:autoSpaceDN w:val="0"/>
              <w:adjustRightInd w:val="0"/>
              <w:spacing w:line="300" w:lineRule="atLeast"/>
              <w:outlineLvl w:val="0"/>
              <w:rPr>
                <w:rFonts w:cs="Times"/>
                <w:b/>
              </w:rPr>
            </w:pPr>
            <w:r>
              <w:rPr>
                <w:rFonts w:cs="Times"/>
                <w:b/>
              </w:rPr>
              <w:lastRenderedPageBreak/>
              <w:t>Nova Scotia</w:t>
            </w:r>
            <w:r w:rsidR="0053459A">
              <w:rPr>
                <w:rFonts w:cs="Times"/>
                <w:b/>
              </w:rPr>
              <w:t xml:space="preserve"> (NS)</w:t>
            </w:r>
          </w:p>
        </w:tc>
        <w:tc>
          <w:tcPr>
            <w:tcW w:w="8297" w:type="dxa"/>
          </w:tcPr>
          <w:p w14:paraId="344E8A66" w14:textId="77777777" w:rsidR="003170E4" w:rsidRDefault="001A230E" w:rsidP="001A230E">
            <w:pPr>
              <w:rPr>
                <w:i/>
                <w:lang w:val="en-CA"/>
              </w:rPr>
            </w:pPr>
            <w:r>
              <w:rPr>
                <w:lang w:val="en-CA"/>
              </w:rPr>
              <w:t xml:space="preserve">Nova Scotia Department of Education (NSDE). (2002). </w:t>
            </w:r>
            <w:r>
              <w:rPr>
                <w:i/>
                <w:lang w:val="en-CA"/>
              </w:rPr>
              <w:t xml:space="preserve">Reporting Policy </w:t>
            </w:r>
          </w:p>
          <w:p w14:paraId="5A579DA7" w14:textId="4420377B" w:rsidR="001A230E" w:rsidRPr="00BE5A9B" w:rsidRDefault="001A230E" w:rsidP="003170E4">
            <w:pPr>
              <w:ind w:left="720"/>
              <w:rPr>
                <w:rFonts w:ascii="Times" w:hAnsi="Times"/>
                <w:sz w:val="20"/>
                <w:szCs w:val="20"/>
                <w:lang w:val="en-CA"/>
              </w:rPr>
            </w:pPr>
            <w:r>
              <w:rPr>
                <w:i/>
                <w:lang w:val="en-CA"/>
              </w:rPr>
              <w:t xml:space="preserve">Framework. </w:t>
            </w:r>
          </w:p>
          <w:p w14:paraId="25982F34" w14:textId="77777777" w:rsidR="001A230E" w:rsidRDefault="001A230E" w:rsidP="001A230E">
            <w:pPr>
              <w:rPr>
                <w:lang w:val="en-CA"/>
              </w:rPr>
            </w:pPr>
          </w:p>
          <w:p w14:paraId="6AA6AB3E" w14:textId="77777777" w:rsidR="003170E4" w:rsidRDefault="001A230E" w:rsidP="001A230E">
            <w:pPr>
              <w:rPr>
                <w:i/>
                <w:lang w:val="en-CA"/>
              </w:rPr>
            </w:pPr>
            <w:r w:rsidRPr="008B5AE1">
              <w:rPr>
                <w:lang w:val="en-CA"/>
              </w:rPr>
              <w:t>Annapol</w:t>
            </w:r>
            <w:r>
              <w:rPr>
                <w:lang w:val="en-CA"/>
              </w:rPr>
              <w:t xml:space="preserve">is Valley Regional School Board (AVRSB). (2005). </w:t>
            </w:r>
            <w:r>
              <w:rPr>
                <w:i/>
                <w:lang w:val="en-CA"/>
              </w:rPr>
              <w:t xml:space="preserve">Student assessment, </w:t>
            </w:r>
          </w:p>
          <w:p w14:paraId="1798E818" w14:textId="170467C8" w:rsidR="001A230E" w:rsidRDefault="001A230E" w:rsidP="003170E4">
            <w:pPr>
              <w:ind w:left="720"/>
              <w:rPr>
                <w:lang w:val="en-CA"/>
              </w:rPr>
            </w:pPr>
            <w:r>
              <w:rPr>
                <w:i/>
                <w:lang w:val="en-CA"/>
              </w:rPr>
              <w:t>evaluation, and reporting practices and p</w:t>
            </w:r>
            <w:r w:rsidRPr="00001814">
              <w:rPr>
                <w:i/>
                <w:lang w:val="en-CA"/>
              </w:rPr>
              <w:t>rocedures</w:t>
            </w:r>
            <w:r w:rsidRPr="008B5AE1">
              <w:rPr>
                <w:lang w:val="en-CA"/>
              </w:rPr>
              <w:t xml:space="preserve">. </w:t>
            </w:r>
            <w:r>
              <w:rPr>
                <w:lang w:val="en-CA"/>
              </w:rPr>
              <w:t xml:space="preserve">Retrieved from </w:t>
            </w:r>
            <w:r w:rsidRPr="00817DC0">
              <w:rPr>
                <w:lang w:val="en-CA"/>
              </w:rPr>
              <w:t>https://www.avrsb.ca/sites/default/files/402.6%20Appendix%20A%20Evaluation%20of%20Student%20Progress.pdf</w:t>
            </w:r>
          </w:p>
          <w:p w14:paraId="68859960" w14:textId="77777777" w:rsidR="001A230E" w:rsidRDefault="001A230E" w:rsidP="001A230E">
            <w:pPr>
              <w:rPr>
                <w:lang w:val="en-CA"/>
              </w:rPr>
            </w:pPr>
          </w:p>
          <w:p w14:paraId="7AF920C1" w14:textId="77777777" w:rsidR="003170E4" w:rsidRDefault="001A230E" w:rsidP="001A230E">
            <w:pPr>
              <w:rPr>
                <w:i/>
                <w:lang w:val="en-CA"/>
              </w:rPr>
            </w:pPr>
            <w:r>
              <w:rPr>
                <w:lang w:val="en-CA"/>
              </w:rPr>
              <w:t xml:space="preserve">South Shore Regional School Board (SSRSB). (2015). </w:t>
            </w:r>
            <w:r>
              <w:rPr>
                <w:i/>
                <w:lang w:val="en-CA"/>
              </w:rPr>
              <w:t xml:space="preserve">Student assessment, </w:t>
            </w:r>
          </w:p>
          <w:p w14:paraId="5D67764B" w14:textId="426A76F6" w:rsidR="001A230E" w:rsidRDefault="001A230E" w:rsidP="003170E4">
            <w:pPr>
              <w:ind w:left="720"/>
              <w:rPr>
                <w:i/>
                <w:lang w:val="en-CA"/>
              </w:rPr>
            </w:pPr>
            <w:r>
              <w:rPr>
                <w:i/>
                <w:lang w:val="en-CA"/>
              </w:rPr>
              <w:t xml:space="preserve">evaluation, and communication of student learning. Governance policy 213. </w:t>
            </w:r>
            <w:r>
              <w:rPr>
                <w:lang w:val="en-CA"/>
              </w:rPr>
              <w:t xml:space="preserve">Retrieved from </w:t>
            </w:r>
            <w:r w:rsidRPr="00C556ED">
              <w:rPr>
                <w:lang w:val="en-CA"/>
              </w:rPr>
              <w:t>http://www.ssrsb.ca/wp-content/uploads/2015/11/213-Student-Assessment-Evaluation-and-Communication-of-Student-Learning-Appr-09-23-15.pdf</w:t>
            </w:r>
            <w:r>
              <w:rPr>
                <w:i/>
                <w:lang w:val="en-CA"/>
              </w:rPr>
              <w:t xml:space="preserve"> </w:t>
            </w:r>
          </w:p>
          <w:p w14:paraId="07AB405F" w14:textId="77777777" w:rsidR="001A230E" w:rsidRDefault="001A230E" w:rsidP="001A230E">
            <w:pPr>
              <w:rPr>
                <w:rFonts w:cs="Times"/>
                <w:b/>
              </w:rPr>
            </w:pPr>
          </w:p>
        </w:tc>
      </w:tr>
      <w:tr w:rsidR="001A230E" w14:paraId="2828047B" w14:textId="77777777" w:rsidTr="007B41F2">
        <w:tc>
          <w:tcPr>
            <w:tcW w:w="1951" w:type="dxa"/>
          </w:tcPr>
          <w:p w14:paraId="109F2256" w14:textId="2C0D05F3" w:rsidR="001A230E" w:rsidRDefault="001A230E" w:rsidP="008F4BB5">
            <w:pPr>
              <w:widowControl w:val="0"/>
              <w:autoSpaceDE w:val="0"/>
              <w:autoSpaceDN w:val="0"/>
              <w:adjustRightInd w:val="0"/>
              <w:spacing w:line="300" w:lineRule="atLeast"/>
              <w:outlineLvl w:val="0"/>
              <w:rPr>
                <w:rFonts w:cs="Times"/>
                <w:b/>
              </w:rPr>
            </w:pPr>
            <w:r>
              <w:rPr>
                <w:rFonts w:cs="Times"/>
                <w:b/>
              </w:rPr>
              <w:t>Nunavut</w:t>
            </w:r>
            <w:r w:rsidR="00827243">
              <w:rPr>
                <w:rFonts w:cs="Times"/>
                <w:b/>
              </w:rPr>
              <w:t xml:space="preserve"> (NU)</w:t>
            </w:r>
            <w:r w:rsidR="0053459A">
              <w:rPr>
                <w:rFonts w:cs="Times"/>
                <w:b/>
              </w:rPr>
              <w:t xml:space="preserve"> </w:t>
            </w:r>
          </w:p>
        </w:tc>
        <w:tc>
          <w:tcPr>
            <w:tcW w:w="8297" w:type="dxa"/>
          </w:tcPr>
          <w:p w14:paraId="26256260" w14:textId="77777777" w:rsidR="003170E4" w:rsidRDefault="001A230E" w:rsidP="001A230E">
            <w:pPr>
              <w:rPr>
                <w:bCs/>
                <w:i/>
              </w:rPr>
            </w:pPr>
            <w:r>
              <w:rPr>
                <w:rFonts w:cs="Times"/>
              </w:rPr>
              <w:t xml:space="preserve">Nunavut Department of Education. (2008). </w:t>
            </w:r>
            <w:r w:rsidRPr="00CC122C">
              <w:rPr>
                <w:bCs/>
                <w:i/>
              </w:rPr>
              <w:t xml:space="preserve">Foundation for Dynamic Assessment as </w:t>
            </w:r>
          </w:p>
          <w:p w14:paraId="29415E5F" w14:textId="033BCB2E" w:rsidR="001A230E" w:rsidRPr="001A230E" w:rsidRDefault="001A230E" w:rsidP="003170E4">
            <w:pPr>
              <w:ind w:left="720"/>
              <w:rPr>
                <w:bCs/>
                <w:i/>
              </w:rPr>
            </w:pPr>
            <w:r w:rsidRPr="00CC122C">
              <w:rPr>
                <w:bCs/>
                <w:i/>
              </w:rPr>
              <w:t>Learning</w:t>
            </w:r>
            <w:r>
              <w:rPr>
                <w:bCs/>
                <w:i/>
              </w:rPr>
              <w:t xml:space="preserve"> </w:t>
            </w:r>
            <w:r w:rsidRPr="00CC122C">
              <w:rPr>
                <w:bCs/>
                <w:i/>
              </w:rPr>
              <w:t>in Nunavut Schools</w:t>
            </w:r>
            <w:r>
              <w:rPr>
                <w:bCs/>
                <w:i/>
              </w:rPr>
              <w:t xml:space="preserve">, </w:t>
            </w:r>
            <w:r>
              <w:rPr>
                <w:bCs/>
              </w:rPr>
              <w:t xml:space="preserve">1-60. Retrieved from </w:t>
            </w:r>
            <w:r w:rsidRPr="00751B2B">
              <w:rPr>
                <w:bCs/>
              </w:rPr>
              <w:t>http://www.gov.nu.ca/education/information/assessment-and-evaluation</w:t>
            </w:r>
          </w:p>
          <w:p w14:paraId="4BCE305D" w14:textId="77777777" w:rsidR="001A230E" w:rsidRDefault="001A230E" w:rsidP="001A230E">
            <w:pPr>
              <w:ind w:firstLine="720"/>
              <w:rPr>
                <w:bCs/>
              </w:rPr>
            </w:pPr>
          </w:p>
          <w:p w14:paraId="7C828A65" w14:textId="77777777" w:rsidR="003170E4" w:rsidRDefault="001A230E" w:rsidP="001A230E">
            <w:pPr>
              <w:rPr>
                <w:bCs/>
              </w:rPr>
            </w:pPr>
            <w:r w:rsidRPr="006658FC">
              <w:rPr>
                <w:bCs/>
              </w:rPr>
              <w:t>Nunavut Department of Education, Curricul</w:t>
            </w:r>
            <w:r>
              <w:rPr>
                <w:bCs/>
              </w:rPr>
              <w:t xml:space="preserve">um and School Services Division. </w:t>
            </w:r>
          </w:p>
          <w:p w14:paraId="7C2D6F24" w14:textId="37043CF4" w:rsidR="001A230E" w:rsidRDefault="001A230E" w:rsidP="003170E4">
            <w:pPr>
              <w:ind w:left="720"/>
              <w:rPr>
                <w:bCs/>
              </w:rPr>
            </w:pPr>
            <w:r>
              <w:rPr>
                <w:bCs/>
              </w:rPr>
              <w:t xml:space="preserve">(2007). </w:t>
            </w:r>
            <w:r>
              <w:rPr>
                <w:bCs/>
                <w:i/>
              </w:rPr>
              <w:t xml:space="preserve">Education Framework Inuit </w:t>
            </w:r>
            <w:proofErr w:type="spellStart"/>
            <w:r>
              <w:rPr>
                <w:bCs/>
                <w:i/>
              </w:rPr>
              <w:t>Qaujimajatuqangit</w:t>
            </w:r>
            <w:proofErr w:type="spellEnd"/>
            <w:r>
              <w:rPr>
                <w:bCs/>
                <w:i/>
              </w:rPr>
              <w:t xml:space="preserve"> for Nunavut Curriculum, </w:t>
            </w:r>
            <w:r>
              <w:rPr>
                <w:bCs/>
              </w:rPr>
              <w:t xml:space="preserve">1-67. </w:t>
            </w:r>
          </w:p>
          <w:p w14:paraId="43F4FA02" w14:textId="760DA732" w:rsidR="001A230E" w:rsidRDefault="001A230E" w:rsidP="001A230E">
            <w:pPr>
              <w:widowControl w:val="0"/>
              <w:autoSpaceDE w:val="0"/>
              <w:autoSpaceDN w:val="0"/>
              <w:adjustRightInd w:val="0"/>
              <w:spacing w:line="300" w:lineRule="atLeast"/>
              <w:outlineLvl w:val="0"/>
              <w:rPr>
                <w:rFonts w:cs="Times"/>
                <w:b/>
              </w:rPr>
            </w:pPr>
          </w:p>
        </w:tc>
      </w:tr>
      <w:tr w:rsidR="001A230E" w14:paraId="1FF91D5F" w14:textId="77777777" w:rsidTr="007B41F2">
        <w:tc>
          <w:tcPr>
            <w:tcW w:w="1951" w:type="dxa"/>
          </w:tcPr>
          <w:p w14:paraId="110F2EAD" w14:textId="0AA9F99F" w:rsidR="001A230E" w:rsidRDefault="001A230E" w:rsidP="008F4BB5">
            <w:pPr>
              <w:widowControl w:val="0"/>
              <w:autoSpaceDE w:val="0"/>
              <w:autoSpaceDN w:val="0"/>
              <w:adjustRightInd w:val="0"/>
              <w:spacing w:line="300" w:lineRule="atLeast"/>
              <w:outlineLvl w:val="0"/>
              <w:rPr>
                <w:rFonts w:cs="Times"/>
                <w:b/>
              </w:rPr>
            </w:pPr>
            <w:r>
              <w:rPr>
                <w:rFonts w:cs="Times"/>
                <w:b/>
              </w:rPr>
              <w:t>Ontario</w:t>
            </w:r>
            <w:r w:rsidR="00827243">
              <w:rPr>
                <w:rFonts w:cs="Times"/>
                <w:b/>
              </w:rPr>
              <w:t xml:space="preserve"> (ON)</w:t>
            </w:r>
          </w:p>
        </w:tc>
        <w:tc>
          <w:tcPr>
            <w:tcW w:w="8297" w:type="dxa"/>
          </w:tcPr>
          <w:p w14:paraId="65C1BD22" w14:textId="77777777" w:rsidR="003170E4" w:rsidRDefault="001A230E" w:rsidP="001A230E">
            <w:pPr>
              <w:ind w:left="31" w:hanging="31"/>
              <w:rPr>
                <w:i/>
                <w:lang w:val="en-CA"/>
              </w:rPr>
            </w:pPr>
            <w:r w:rsidRPr="00457C03">
              <w:rPr>
                <w:lang w:val="en-CA"/>
              </w:rPr>
              <w:t xml:space="preserve">Ontario </w:t>
            </w:r>
            <w:r>
              <w:rPr>
                <w:lang w:val="en-CA"/>
              </w:rPr>
              <w:t xml:space="preserve">Ministry of Education. (2010). </w:t>
            </w:r>
            <w:r w:rsidRPr="001A230E">
              <w:rPr>
                <w:i/>
                <w:lang w:val="en-CA"/>
              </w:rPr>
              <w:t xml:space="preserve">Growing Success: Assessment, Evaluation, </w:t>
            </w:r>
          </w:p>
          <w:p w14:paraId="54966640" w14:textId="5481B078" w:rsidR="001A230E" w:rsidRPr="00457C03" w:rsidRDefault="001A230E" w:rsidP="003170E4">
            <w:pPr>
              <w:ind w:left="720"/>
              <w:rPr>
                <w:lang w:val="en-CA"/>
              </w:rPr>
            </w:pPr>
            <w:r w:rsidRPr="001A230E">
              <w:rPr>
                <w:i/>
                <w:lang w:val="en-CA"/>
              </w:rPr>
              <w:t>and Reporting in Ontario Schools</w:t>
            </w:r>
            <w:r w:rsidRPr="00457C03">
              <w:rPr>
                <w:lang w:val="en-CA"/>
              </w:rPr>
              <w:t>. Toronto, ON: Queen’s Printer for Ontario.</w:t>
            </w:r>
          </w:p>
          <w:p w14:paraId="0E7E57C0" w14:textId="77777777" w:rsidR="001A230E" w:rsidRDefault="001A230E" w:rsidP="001A230E">
            <w:pPr>
              <w:widowControl w:val="0"/>
              <w:autoSpaceDE w:val="0"/>
              <w:autoSpaceDN w:val="0"/>
              <w:adjustRightInd w:val="0"/>
              <w:spacing w:line="300" w:lineRule="atLeast"/>
              <w:ind w:left="31" w:hanging="31"/>
              <w:outlineLvl w:val="0"/>
              <w:rPr>
                <w:rFonts w:cs="Times"/>
                <w:b/>
              </w:rPr>
            </w:pPr>
          </w:p>
        </w:tc>
      </w:tr>
      <w:tr w:rsidR="001A230E" w14:paraId="5BF62949" w14:textId="77777777" w:rsidTr="007B41F2">
        <w:tc>
          <w:tcPr>
            <w:tcW w:w="1951" w:type="dxa"/>
          </w:tcPr>
          <w:p w14:paraId="04042979" w14:textId="35DA0109" w:rsidR="001A230E" w:rsidRDefault="001A230E" w:rsidP="008F4BB5">
            <w:pPr>
              <w:widowControl w:val="0"/>
              <w:autoSpaceDE w:val="0"/>
              <w:autoSpaceDN w:val="0"/>
              <w:adjustRightInd w:val="0"/>
              <w:spacing w:line="300" w:lineRule="atLeast"/>
              <w:outlineLvl w:val="0"/>
              <w:rPr>
                <w:rFonts w:cs="Times"/>
                <w:b/>
              </w:rPr>
            </w:pPr>
            <w:r>
              <w:rPr>
                <w:rFonts w:cs="Times"/>
                <w:b/>
              </w:rPr>
              <w:t>Prince Edward Island</w:t>
            </w:r>
            <w:r w:rsidR="00827243">
              <w:rPr>
                <w:rFonts w:cs="Times"/>
                <w:b/>
              </w:rPr>
              <w:t xml:space="preserve"> (PEI)</w:t>
            </w:r>
          </w:p>
        </w:tc>
        <w:tc>
          <w:tcPr>
            <w:tcW w:w="8297" w:type="dxa"/>
          </w:tcPr>
          <w:p w14:paraId="73D70C4B" w14:textId="77777777" w:rsidR="003170E4" w:rsidRDefault="001A230E" w:rsidP="001A230E">
            <w:pPr>
              <w:outlineLvl w:val="0"/>
              <w:rPr>
                <w:i/>
              </w:rPr>
            </w:pPr>
            <w:r>
              <w:t xml:space="preserve">English Language School Board. (2015). </w:t>
            </w:r>
            <w:r w:rsidRPr="00352347">
              <w:rPr>
                <w:i/>
              </w:rPr>
              <w:t xml:space="preserve">Assessing, evaluating, monitoring and </w:t>
            </w:r>
          </w:p>
          <w:p w14:paraId="63EE84C0" w14:textId="3C6DAE0C" w:rsidR="00796304" w:rsidRDefault="001A230E" w:rsidP="003170E4">
            <w:pPr>
              <w:ind w:left="720"/>
              <w:outlineLvl w:val="0"/>
              <w:rPr>
                <w:sz w:val="22"/>
                <w:szCs w:val="22"/>
              </w:rPr>
            </w:pPr>
            <w:r w:rsidRPr="00352347">
              <w:rPr>
                <w:i/>
              </w:rPr>
              <w:t xml:space="preserve">reporting student achievement. </w:t>
            </w:r>
            <w:r>
              <w:rPr>
                <w:i/>
              </w:rPr>
              <w:t xml:space="preserve">Policy 407.1. </w:t>
            </w:r>
            <w:r>
              <w:t xml:space="preserve">Retrieved from </w:t>
            </w:r>
            <w:r w:rsidR="00796304" w:rsidRPr="00796304">
              <w:rPr>
                <w:sz w:val="22"/>
                <w:szCs w:val="22"/>
              </w:rPr>
              <w:t>http://www.gov</w:t>
            </w:r>
            <w:r w:rsidRPr="008D1F0E">
              <w:rPr>
                <w:sz w:val="22"/>
                <w:szCs w:val="22"/>
              </w:rPr>
              <w:t>.</w:t>
            </w:r>
          </w:p>
          <w:p w14:paraId="397546AB" w14:textId="5067972F" w:rsidR="001A230E" w:rsidRPr="001A230E" w:rsidRDefault="001A230E" w:rsidP="003170E4">
            <w:pPr>
              <w:ind w:left="720"/>
              <w:outlineLvl w:val="0"/>
              <w:rPr>
                <w:i/>
              </w:rPr>
            </w:pPr>
            <w:r w:rsidRPr="008D1F0E">
              <w:rPr>
                <w:sz w:val="22"/>
                <w:szCs w:val="22"/>
              </w:rPr>
              <w:t>pe.ca/edu/elsb/files/2015/10/407.1_Assessing_Evaluating_Monitoring_and_Reporting_Student_Achievement.pdf</w:t>
            </w:r>
          </w:p>
          <w:p w14:paraId="6324EDCD" w14:textId="77777777" w:rsidR="001A230E" w:rsidRPr="00352347" w:rsidRDefault="001A230E" w:rsidP="001A230E">
            <w:pPr>
              <w:ind w:firstLine="720"/>
              <w:rPr>
                <w:sz w:val="22"/>
                <w:szCs w:val="22"/>
              </w:rPr>
            </w:pPr>
          </w:p>
          <w:p w14:paraId="56BACC2A" w14:textId="77777777" w:rsidR="00796304" w:rsidRDefault="001A230E" w:rsidP="001A230E">
            <w:pPr>
              <w:outlineLvl w:val="0"/>
              <w:rPr>
                <w:i/>
              </w:rPr>
            </w:pPr>
            <w:r>
              <w:t xml:space="preserve">English Language School Board. (2015). </w:t>
            </w:r>
            <w:r w:rsidRPr="00352347">
              <w:rPr>
                <w:i/>
              </w:rPr>
              <w:t xml:space="preserve">Assessing, evaluating, monitoring and </w:t>
            </w:r>
          </w:p>
          <w:p w14:paraId="04E5A575" w14:textId="4045840C" w:rsidR="00796304" w:rsidRDefault="001A230E" w:rsidP="00796304">
            <w:pPr>
              <w:ind w:left="720"/>
              <w:outlineLvl w:val="0"/>
              <w:rPr>
                <w:sz w:val="22"/>
                <w:szCs w:val="22"/>
              </w:rPr>
            </w:pPr>
            <w:r w:rsidRPr="00352347">
              <w:rPr>
                <w:i/>
              </w:rPr>
              <w:t xml:space="preserve">reporting student achievement. </w:t>
            </w:r>
            <w:r>
              <w:rPr>
                <w:i/>
              </w:rPr>
              <w:t xml:space="preserve">Policy 407. </w:t>
            </w:r>
            <w:r>
              <w:t>Retrieved from</w:t>
            </w:r>
            <w:r>
              <w:rPr>
                <w:i/>
              </w:rPr>
              <w:t xml:space="preserve"> </w:t>
            </w:r>
            <w:r w:rsidR="00796304" w:rsidRPr="00796304">
              <w:rPr>
                <w:sz w:val="22"/>
                <w:szCs w:val="22"/>
              </w:rPr>
              <w:t>http://www.gov</w:t>
            </w:r>
            <w:r w:rsidRPr="0076169D">
              <w:rPr>
                <w:sz w:val="22"/>
                <w:szCs w:val="22"/>
              </w:rPr>
              <w:t>.</w:t>
            </w:r>
          </w:p>
          <w:p w14:paraId="650D8E7E" w14:textId="79092423" w:rsidR="001A230E" w:rsidRPr="001A230E" w:rsidRDefault="001A230E" w:rsidP="00796304">
            <w:pPr>
              <w:ind w:left="720"/>
              <w:outlineLvl w:val="0"/>
              <w:rPr>
                <w:i/>
              </w:rPr>
            </w:pPr>
            <w:r w:rsidRPr="0076169D">
              <w:rPr>
                <w:sz w:val="22"/>
                <w:szCs w:val="22"/>
              </w:rPr>
              <w:t>pe.ca/edu/elsb/files/2015/10/407_Assessing_Evaluating</w:t>
            </w:r>
            <w:r w:rsidRPr="008D1F0E">
              <w:rPr>
                <w:sz w:val="22"/>
                <w:szCs w:val="22"/>
              </w:rPr>
              <w:t>_Monitoring_and_Reporting_Student_Achievement.pdf</w:t>
            </w:r>
          </w:p>
          <w:p w14:paraId="2EB7CB11" w14:textId="77777777" w:rsidR="001A230E" w:rsidRDefault="001A230E" w:rsidP="008F4BB5">
            <w:pPr>
              <w:widowControl w:val="0"/>
              <w:autoSpaceDE w:val="0"/>
              <w:autoSpaceDN w:val="0"/>
              <w:adjustRightInd w:val="0"/>
              <w:spacing w:line="300" w:lineRule="atLeast"/>
              <w:outlineLvl w:val="0"/>
              <w:rPr>
                <w:rFonts w:cs="Times"/>
                <w:b/>
              </w:rPr>
            </w:pPr>
          </w:p>
        </w:tc>
      </w:tr>
      <w:tr w:rsidR="001A230E" w14:paraId="500245A0" w14:textId="77777777" w:rsidTr="007B41F2">
        <w:tc>
          <w:tcPr>
            <w:tcW w:w="1951" w:type="dxa"/>
          </w:tcPr>
          <w:p w14:paraId="03D0209B" w14:textId="5D0040F2" w:rsidR="001A230E" w:rsidRDefault="001A230E" w:rsidP="008F4BB5">
            <w:pPr>
              <w:widowControl w:val="0"/>
              <w:autoSpaceDE w:val="0"/>
              <w:autoSpaceDN w:val="0"/>
              <w:adjustRightInd w:val="0"/>
              <w:spacing w:line="300" w:lineRule="atLeast"/>
              <w:outlineLvl w:val="0"/>
              <w:rPr>
                <w:rFonts w:cs="Times"/>
                <w:b/>
              </w:rPr>
            </w:pPr>
            <w:r>
              <w:rPr>
                <w:rFonts w:cs="Times"/>
                <w:b/>
              </w:rPr>
              <w:t>Quebec</w:t>
            </w:r>
            <w:r w:rsidR="00827243">
              <w:rPr>
                <w:rFonts w:cs="Times"/>
                <w:b/>
              </w:rPr>
              <w:t xml:space="preserve"> (QC)</w:t>
            </w:r>
          </w:p>
        </w:tc>
        <w:tc>
          <w:tcPr>
            <w:tcW w:w="8297" w:type="dxa"/>
          </w:tcPr>
          <w:p w14:paraId="0235EC50" w14:textId="5E055FF7" w:rsidR="001A230E" w:rsidRDefault="001A230E" w:rsidP="001A230E">
            <w:r>
              <w:t xml:space="preserve">MEQ. (2003). </w:t>
            </w:r>
            <w:r w:rsidRPr="000E637B">
              <w:rPr>
                <w:i/>
              </w:rPr>
              <w:t>Policy on the evaluation of learning.</w:t>
            </w:r>
            <w:r>
              <w:rPr>
                <w:i/>
              </w:rPr>
              <w:t xml:space="preserve"> </w:t>
            </w:r>
            <w:r>
              <w:t xml:space="preserve">Retrieved from </w:t>
            </w:r>
          </w:p>
          <w:p w14:paraId="5E9B04A6" w14:textId="59323C9D" w:rsidR="00796304" w:rsidRDefault="00796304" w:rsidP="00796304">
            <w:pPr>
              <w:ind w:left="720"/>
            </w:pPr>
            <w:r w:rsidRPr="00796304">
              <w:t>http://www.education.gouv.qc.ca/references/publications/resultats-de-la-recherche/detail/article/politique-devaluation-des-apprentissages</w:t>
            </w:r>
          </w:p>
          <w:p w14:paraId="69B75CBA" w14:textId="7C0E45F8" w:rsidR="001A230E" w:rsidRPr="003E1EB9" w:rsidRDefault="001A230E" w:rsidP="00796304">
            <w:pPr>
              <w:ind w:left="720"/>
            </w:pPr>
            <w:r w:rsidRPr="004517AA">
              <w:t>/</w:t>
            </w:r>
            <w:proofErr w:type="spellStart"/>
            <w:r w:rsidRPr="004517AA">
              <w:t>pubLang</w:t>
            </w:r>
            <w:proofErr w:type="spellEnd"/>
            <w:r w:rsidRPr="004517AA">
              <w:t>/1/</w:t>
            </w:r>
            <w:r w:rsidRPr="000E637B">
              <w:rPr>
                <w:i/>
              </w:rPr>
              <w:t xml:space="preserve"> </w:t>
            </w:r>
          </w:p>
          <w:p w14:paraId="3A6D3718" w14:textId="77777777" w:rsidR="001A230E" w:rsidRDefault="001A230E" w:rsidP="001A230E">
            <w:pPr>
              <w:rPr>
                <w:i/>
              </w:rPr>
            </w:pPr>
          </w:p>
          <w:p w14:paraId="774C45E6" w14:textId="77777777" w:rsidR="00796304" w:rsidRDefault="001A230E" w:rsidP="001A230E">
            <w:pPr>
              <w:rPr>
                <w:i/>
              </w:rPr>
            </w:pPr>
            <w:r>
              <w:t xml:space="preserve">MEQ. (2011). </w:t>
            </w:r>
            <w:r>
              <w:rPr>
                <w:i/>
              </w:rPr>
              <w:t xml:space="preserve">Framework for the evaluation of learning: English as a second </w:t>
            </w:r>
          </w:p>
          <w:p w14:paraId="0752D6FA" w14:textId="0935BD93" w:rsidR="005A4E71" w:rsidRDefault="001A230E" w:rsidP="00796304">
            <w:pPr>
              <w:ind w:left="720"/>
            </w:pPr>
            <w:r>
              <w:rPr>
                <w:i/>
              </w:rPr>
              <w:t xml:space="preserve">language. </w:t>
            </w:r>
            <w:r>
              <w:t xml:space="preserve">Retrieved from </w:t>
            </w:r>
            <w:r w:rsidR="005A4E71" w:rsidRPr="005A4E71">
              <w:t>http://www1.education.gouv.qc.ca/sections</w:t>
            </w:r>
          </w:p>
          <w:p w14:paraId="49DEEAF0" w14:textId="6DB678C8" w:rsidR="001A230E" w:rsidRPr="005A4E71" w:rsidRDefault="001A230E" w:rsidP="005A4E71">
            <w:pPr>
              <w:ind w:left="720"/>
              <w:rPr>
                <w:i/>
              </w:rPr>
            </w:pPr>
            <w:r w:rsidRPr="00591AC3">
              <w:t>/</w:t>
            </w:r>
            <w:proofErr w:type="spellStart"/>
            <w:r w:rsidRPr="00591AC3">
              <w:t>programmeFormation</w:t>
            </w:r>
            <w:proofErr w:type="spellEnd"/>
            <w:r w:rsidRPr="00591AC3">
              <w:t>/</w:t>
            </w:r>
            <w:proofErr w:type="spellStart"/>
            <w:r w:rsidRPr="00591AC3">
              <w:t>secondaire2</w:t>
            </w:r>
            <w:proofErr w:type="spellEnd"/>
            <w:r w:rsidRPr="00591AC3">
              <w:t>/index_en.asp</w:t>
            </w:r>
          </w:p>
          <w:p w14:paraId="07E7D1D5" w14:textId="77777777" w:rsidR="001A230E" w:rsidRDefault="001A230E" w:rsidP="001A230E">
            <w:pPr>
              <w:rPr>
                <w:i/>
              </w:rPr>
            </w:pPr>
          </w:p>
          <w:p w14:paraId="0C447C55" w14:textId="77777777" w:rsidR="005A4E71" w:rsidRDefault="001A230E" w:rsidP="001A230E">
            <w:pPr>
              <w:rPr>
                <w:i/>
              </w:rPr>
            </w:pPr>
            <w:r>
              <w:lastRenderedPageBreak/>
              <w:t xml:space="preserve">MEQ. (2015). </w:t>
            </w:r>
            <w:r w:rsidRPr="00CB3CC1">
              <w:rPr>
                <w:i/>
              </w:rPr>
              <w:t>Administrative Guide–2015 Edition</w:t>
            </w:r>
            <w:r>
              <w:rPr>
                <w:i/>
              </w:rPr>
              <w:t>.</w:t>
            </w:r>
            <w:r w:rsidRPr="00CB3CC1">
              <w:rPr>
                <w:i/>
              </w:rPr>
              <w:t xml:space="preserve"> Certification of Studies and </w:t>
            </w:r>
          </w:p>
          <w:p w14:paraId="409C823B" w14:textId="6DEFBB8D" w:rsidR="005A4E71" w:rsidRDefault="001A230E" w:rsidP="005A4E71">
            <w:pPr>
              <w:ind w:left="720"/>
            </w:pPr>
            <w:r w:rsidRPr="00CB3CC1">
              <w:rPr>
                <w:i/>
              </w:rPr>
              <w:t>Managem</w:t>
            </w:r>
            <w:r>
              <w:rPr>
                <w:i/>
              </w:rPr>
              <w:t>ent of Ministerial Examinations</w:t>
            </w:r>
            <w:r>
              <w:t xml:space="preserve">. </w:t>
            </w:r>
            <w:r w:rsidRPr="00CD24BE">
              <w:t>Retrieved from</w:t>
            </w:r>
            <w:r w:rsidR="005A4E71">
              <w:t xml:space="preserve"> </w:t>
            </w:r>
            <w:r w:rsidRPr="00CD24BE">
              <w:t>www.education.</w:t>
            </w:r>
          </w:p>
          <w:p w14:paraId="6277CA1E" w14:textId="4F3CE37B" w:rsidR="001A230E" w:rsidRPr="001A230E" w:rsidRDefault="001A230E" w:rsidP="005A4E71">
            <w:pPr>
              <w:ind w:left="720"/>
              <w:rPr>
                <w:i/>
              </w:rPr>
            </w:pPr>
            <w:r w:rsidRPr="00CD24BE">
              <w:t>gouv.qc.ca/</w:t>
            </w:r>
            <w:proofErr w:type="spellStart"/>
            <w:r w:rsidRPr="00CD24BE">
              <w:t>file</w:t>
            </w:r>
            <w:r w:rsidRPr="00CD24BE">
              <w:rPr>
                <w:bCs/>
              </w:rPr>
              <w:t>admin</w:t>
            </w:r>
            <w:proofErr w:type="spellEnd"/>
            <w:r w:rsidRPr="00CD24BE">
              <w:rPr>
                <w:bCs/>
              </w:rPr>
              <w:t xml:space="preserve"> </w:t>
            </w:r>
            <w:r w:rsidRPr="00CD24BE">
              <w:t>/</w:t>
            </w:r>
            <w:proofErr w:type="spellStart"/>
            <w:r w:rsidRPr="00CD24BE">
              <w:t>site_web</w:t>
            </w:r>
            <w:proofErr w:type="spellEnd"/>
            <w:r w:rsidRPr="00CD24BE">
              <w:t>/.../</w:t>
            </w:r>
            <w:r w:rsidRPr="00CD24BE">
              <w:rPr>
                <w:bCs/>
              </w:rPr>
              <w:t>Guide</w:t>
            </w:r>
            <w:r w:rsidRPr="00CD24BE">
              <w:t>-sanction-</w:t>
            </w:r>
            <w:r w:rsidRPr="00CD24BE">
              <w:rPr>
                <w:bCs/>
              </w:rPr>
              <w:t>2015</w:t>
            </w:r>
            <w:r w:rsidRPr="00CD24BE">
              <w:t>_ang.pdf</w:t>
            </w:r>
          </w:p>
          <w:p w14:paraId="627F7D99" w14:textId="77777777" w:rsidR="001A230E" w:rsidRDefault="001A230E" w:rsidP="001A230E"/>
        </w:tc>
      </w:tr>
      <w:tr w:rsidR="001A230E" w14:paraId="0EE82662" w14:textId="77777777" w:rsidTr="007B41F2">
        <w:tc>
          <w:tcPr>
            <w:tcW w:w="1951" w:type="dxa"/>
          </w:tcPr>
          <w:p w14:paraId="5D30F03C" w14:textId="6DC86C36" w:rsidR="001A230E" w:rsidRDefault="001A230E" w:rsidP="008F4BB5">
            <w:pPr>
              <w:widowControl w:val="0"/>
              <w:autoSpaceDE w:val="0"/>
              <w:autoSpaceDN w:val="0"/>
              <w:adjustRightInd w:val="0"/>
              <w:spacing w:line="300" w:lineRule="atLeast"/>
              <w:outlineLvl w:val="0"/>
              <w:rPr>
                <w:rFonts w:cs="Times"/>
                <w:b/>
              </w:rPr>
            </w:pPr>
            <w:r>
              <w:rPr>
                <w:rFonts w:cs="Times"/>
                <w:b/>
              </w:rPr>
              <w:lastRenderedPageBreak/>
              <w:t>Saskatchewan</w:t>
            </w:r>
            <w:r w:rsidR="00827243">
              <w:rPr>
                <w:rFonts w:cs="Times"/>
                <w:b/>
              </w:rPr>
              <w:t xml:space="preserve"> (SK)</w:t>
            </w:r>
          </w:p>
        </w:tc>
        <w:tc>
          <w:tcPr>
            <w:tcW w:w="8297" w:type="dxa"/>
          </w:tcPr>
          <w:p w14:paraId="20FAF035" w14:textId="77777777" w:rsidR="005A4E71" w:rsidRDefault="001A230E" w:rsidP="001A230E">
            <w:pPr>
              <w:rPr>
                <w:i/>
              </w:rPr>
            </w:pPr>
            <w:r>
              <w:t xml:space="preserve">Saskatchewan Education. (1991). </w:t>
            </w:r>
            <w:r w:rsidRPr="00F103B6">
              <w:rPr>
                <w:i/>
              </w:rPr>
              <w:t>Student Evaluation: A Teacher Handbook.</w:t>
            </w:r>
            <w:r>
              <w:rPr>
                <w:i/>
              </w:rPr>
              <w:t xml:space="preserve"> </w:t>
            </w:r>
          </w:p>
          <w:p w14:paraId="0B53E180" w14:textId="55DDEEF4" w:rsidR="001A230E" w:rsidRPr="000A5349" w:rsidRDefault="001A230E" w:rsidP="005A4E71">
            <w:pPr>
              <w:ind w:left="720"/>
            </w:pPr>
            <w:r w:rsidRPr="00F103B6">
              <w:t>Retrieved from</w:t>
            </w:r>
            <w:r>
              <w:t xml:space="preserve"> </w:t>
            </w:r>
            <w:r w:rsidRPr="009A1BFB">
              <w:t>http://www.publications.gov.sk.ca/details.cfm?p=10168</w:t>
            </w:r>
            <w:r w:rsidRPr="00F103B6">
              <w:t xml:space="preserve">   </w:t>
            </w:r>
          </w:p>
          <w:p w14:paraId="397D1700" w14:textId="77777777" w:rsidR="001A230E" w:rsidRDefault="001A230E" w:rsidP="008F4BB5">
            <w:pPr>
              <w:widowControl w:val="0"/>
              <w:autoSpaceDE w:val="0"/>
              <w:autoSpaceDN w:val="0"/>
              <w:adjustRightInd w:val="0"/>
              <w:spacing w:line="300" w:lineRule="atLeast"/>
              <w:outlineLvl w:val="0"/>
              <w:rPr>
                <w:rFonts w:cs="Times"/>
                <w:b/>
              </w:rPr>
            </w:pPr>
          </w:p>
        </w:tc>
      </w:tr>
      <w:tr w:rsidR="001A230E" w14:paraId="1D2F32FA" w14:textId="77777777" w:rsidTr="007B41F2">
        <w:tc>
          <w:tcPr>
            <w:tcW w:w="1951" w:type="dxa"/>
          </w:tcPr>
          <w:p w14:paraId="2EAAC4AB" w14:textId="66AF1701" w:rsidR="001A230E" w:rsidRDefault="001A230E" w:rsidP="008F4BB5">
            <w:pPr>
              <w:widowControl w:val="0"/>
              <w:autoSpaceDE w:val="0"/>
              <w:autoSpaceDN w:val="0"/>
              <w:adjustRightInd w:val="0"/>
              <w:spacing w:line="300" w:lineRule="atLeast"/>
              <w:outlineLvl w:val="0"/>
              <w:rPr>
                <w:rFonts w:cs="Times"/>
                <w:b/>
              </w:rPr>
            </w:pPr>
            <w:r>
              <w:rPr>
                <w:rFonts w:cs="Times"/>
                <w:b/>
              </w:rPr>
              <w:t xml:space="preserve">Yukon </w:t>
            </w:r>
            <w:r w:rsidR="00827243">
              <w:rPr>
                <w:rFonts w:cs="Times"/>
                <w:b/>
              </w:rPr>
              <w:t>(YT)</w:t>
            </w:r>
          </w:p>
        </w:tc>
        <w:tc>
          <w:tcPr>
            <w:tcW w:w="8297" w:type="dxa"/>
          </w:tcPr>
          <w:p w14:paraId="29D8686F" w14:textId="77777777" w:rsidR="005A4E71" w:rsidRDefault="001A230E" w:rsidP="001A230E">
            <w:pPr>
              <w:outlineLvl w:val="0"/>
            </w:pPr>
            <w:r>
              <w:t xml:space="preserve">Yukon Education. (2011). </w:t>
            </w:r>
            <w:r w:rsidRPr="00454825">
              <w:rPr>
                <w:i/>
              </w:rPr>
              <w:t>Reporting on St</w:t>
            </w:r>
            <w:r>
              <w:rPr>
                <w:i/>
              </w:rPr>
              <w:t>udent Progress in Yukon Schools</w:t>
            </w:r>
            <w:r>
              <w:t xml:space="preserve">. </w:t>
            </w:r>
          </w:p>
          <w:p w14:paraId="51DCB374" w14:textId="3D12A053" w:rsidR="005A4E71" w:rsidRDefault="001A230E" w:rsidP="005A4E71">
            <w:pPr>
              <w:ind w:left="720"/>
              <w:outlineLvl w:val="0"/>
            </w:pPr>
            <w:r>
              <w:t xml:space="preserve">Retrieved from </w:t>
            </w:r>
            <w:r w:rsidR="005A4E71" w:rsidRPr="005A4E71">
              <w:t>http://www.yesnet.yk.ca/pdf/11-12/r_student_progress</w:t>
            </w:r>
          </w:p>
          <w:p w14:paraId="60B98886" w14:textId="1ADD5471" w:rsidR="001A230E" w:rsidRPr="00C00233" w:rsidRDefault="001A230E" w:rsidP="005A4E71">
            <w:pPr>
              <w:ind w:left="720"/>
              <w:outlineLvl w:val="0"/>
            </w:pPr>
            <w:r w:rsidRPr="00FB3FA5">
              <w:t>_dec_11.pdf</w:t>
            </w:r>
          </w:p>
          <w:p w14:paraId="68479515" w14:textId="77777777" w:rsidR="001A230E" w:rsidRDefault="001A230E" w:rsidP="008F4BB5">
            <w:pPr>
              <w:widowControl w:val="0"/>
              <w:autoSpaceDE w:val="0"/>
              <w:autoSpaceDN w:val="0"/>
              <w:adjustRightInd w:val="0"/>
              <w:spacing w:line="300" w:lineRule="atLeast"/>
              <w:outlineLvl w:val="0"/>
              <w:rPr>
                <w:rFonts w:cs="Times"/>
                <w:b/>
              </w:rPr>
            </w:pPr>
          </w:p>
        </w:tc>
      </w:tr>
    </w:tbl>
    <w:p w14:paraId="0789B44A" w14:textId="57CF4484" w:rsidR="00513330" w:rsidRPr="008B140F" w:rsidRDefault="00513330" w:rsidP="00513330">
      <w:pPr>
        <w:rPr>
          <w:bCs/>
        </w:rPr>
      </w:pPr>
    </w:p>
    <w:sectPr w:rsidR="00513330" w:rsidRPr="008B140F" w:rsidSect="00E371BD">
      <w:headerReference w:type="default" r:id="rId8"/>
      <w:footerReference w:type="even"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AB79A" w14:textId="77777777" w:rsidR="003046C2" w:rsidRDefault="003046C2" w:rsidP="00CE1C2D">
      <w:r>
        <w:separator/>
      </w:r>
    </w:p>
  </w:endnote>
  <w:endnote w:type="continuationSeparator" w:id="0">
    <w:p w14:paraId="3864DD3B" w14:textId="77777777" w:rsidR="003046C2" w:rsidRDefault="003046C2" w:rsidP="00CE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宋体">
    <w:panose1 w:val="00000000000000000000"/>
    <w:charset w:val="86"/>
    <w:family w:val="auto"/>
    <w:notTrueType/>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FEC72" w14:textId="77777777" w:rsidR="00C01262" w:rsidRDefault="00C01262" w:rsidP="00B31F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8BC63" w14:textId="77777777" w:rsidR="00C01262" w:rsidRDefault="00C01262" w:rsidP="00CE1C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3DD0F" w14:textId="77777777" w:rsidR="00C01262" w:rsidRDefault="00C01262" w:rsidP="00B31F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216B">
      <w:rPr>
        <w:rStyle w:val="PageNumber"/>
        <w:noProof/>
      </w:rPr>
      <w:t>2</w:t>
    </w:r>
    <w:r>
      <w:rPr>
        <w:rStyle w:val="PageNumber"/>
      </w:rPr>
      <w:fldChar w:fldCharType="end"/>
    </w:r>
  </w:p>
  <w:p w14:paraId="22A78C08" w14:textId="77777777" w:rsidR="00C01262" w:rsidRDefault="00C01262" w:rsidP="00CE1C2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3EC9C" w14:textId="77777777" w:rsidR="003046C2" w:rsidRDefault="003046C2" w:rsidP="00CE1C2D">
      <w:r>
        <w:separator/>
      </w:r>
    </w:p>
  </w:footnote>
  <w:footnote w:type="continuationSeparator" w:id="0">
    <w:p w14:paraId="3BF6AF10" w14:textId="77777777" w:rsidR="003046C2" w:rsidRDefault="003046C2" w:rsidP="00CE1C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9F9D2" w14:textId="03A68364" w:rsidR="00C01262" w:rsidRDefault="00C01262" w:rsidP="00801D8B">
    <w:pPr>
      <w:pStyle w:val="Header"/>
      <w:jc w:val="right"/>
    </w:pPr>
    <w:r w:rsidRPr="00801D8B">
      <w:rPr>
        <w:color w:val="000000" w:themeColor="text1"/>
      </w:rPr>
      <w:t>Grading Policies in Canada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5E80604"/>
    <w:multiLevelType w:val="hybridMultilevel"/>
    <w:tmpl w:val="EF728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B29DC"/>
    <w:multiLevelType w:val="hybridMultilevel"/>
    <w:tmpl w:val="4634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3"/>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4F"/>
    <w:rsid w:val="000012DE"/>
    <w:rsid w:val="00004655"/>
    <w:rsid w:val="00004AA9"/>
    <w:rsid w:val="00012EEE"/>
    <w:rsid w:val="000131EE"/>
    <w:rsid w:val="00013506"/>
    <w:rsid w:val="000135AE"/>
    <w:rsid w:val="00022D9D"/>
    <w:rsid w:val="00024AB5"/>
    <w:rsid w:val="00026759"/>
    <w:rsid w:val="00026B3A"/>
    <w:rsid w:val="000317A1"/>
    <w:rsid w:val="00032ACF"/>
    <w:rsid w:val="00036253"/>
    <w:rsid w:val="00036A2D"/>
    <w:rsid w:val="00037232"/>
    <w:rsid w:val="00040131"/>
    <w:rsid w:val="000407A4"/>
    <w:rsid w:val="000407D7"/>
    <w:rsid w:val="0004542B"/>
    <w:rsid w:val="00045D9F"/>
    <w:rsid w:val="00050B53"/>
    <w:rsid w:val="0005692F"/>
    <w:rsid w:val="00060D51"/>
    <w:rsid w:val="000619CF"/>
    <w:rsid w:val="00067DF9"/>
    <w:rsid w:val="000708F5"/>
    <w:rsid w:val="000709F9"/>
    <w:rsid w:val="00070EB5"/>
    <w:rsid w:val="00070F1B"/>
    <w:rsid w:val="00071966"/>
    <w:rsid w:val="00071E1D"/>
    <w:rsid w:val="000725DD"/>
    <w:rsid w:val="00073EFD"/>
    <w:rsid w:val="00074739"/>
    <w:rsid w:val="00074753"/>
    <w:rsid w:val="00082FD4"/>
    <w:rsid w:val="00083881"/>
    <w:rsid w:val="0009744A"/>
    <w:rsid w:val="000A375F"/>
    <w:rsid w:val="000A5349"/>
    <w:rsid w:val="000A7B7A"/>
    <w:rsid w:val="000B2D79"/>
    <w:rsid w:val="000B3E17"/>
    <w:rsid w:val="000B5F07"/>
    <w:rsid w:val="000C25D6"/>
    <w:rsid w:val="000D3BB3"/>
    <w:rsid w:val="000D3EE2"/>
    <w:rsid w:val="000D55A1"/>
    <w:rsid w:val="000E71BA"/>
    <w:rsid w:val="000F16E2"/>
    <w:rsid w:val="000F192E"/>
    <w:rsid w:val="000F409F"/>
    <w:rsid w:val="00105275"/>
    <w:rsid w:val="00105C48"/>
    <w:rsid w:val="001065F5"/>
    <w:rsid w:val="00107B2E"/>
    <w:rsid w:val="0011518C"/>
    <w:rsid w:val="0011602F"/>
    <w:rsid w:val="001203B9"/>
    <w:rsid w:val="0012483D"/>
    <w:rsid w:val="00124FF3"/>
    <w:rsid w:val="00125B90"/>
    <w:rsid w:val="00130DCE"/>
    <w:rsid w:val="00132286"/>
    <w:rsid w:val="00132456"/>
    <w:rsid w:val="00133883"/>
    <w:rsid w:val="00136618"/>
    <w:rsid w:val="00137E4F"/>
    <w:rsid w:val="001437AB"/>
    <w:rsid w:val="00144FAD"/>
    <w:rsid w:val="001507F6"/>
    <w:rsid w:val="001509FC"/>
    <w:rsid w:val="0015592C"/>
    <w:rsid w:val="00167453"/>
    <w:rsid w:val="00170AED"/>
    <w:rsid w:val="001718F1"/>
    <w:rsid w:val="00175A8C"/>
    <w:rsid w:val="0017644D"/>
    <w:rsid w:val="0018263C"/>
    <w:rsid w:val="00184032"/>
    <w:rsid w:val="001860DA"/>
    <w:rsid w:val="00190021"/>
    <w:rsid w:val="00192506"/>
    <w:rsid w:val="0019432B"/>
    <w:rsid w:val="00194BAA"/>
    <w:rsid w:val="0019752F"/>
    <w:rsid w:val="001A230E"/>
    <w:rsid w:val="001A6BBC"/>
    <w:rsid w:val="001B25DD"/>
    <w:rsid w:val="001B63FF"/>
    <w:rsid w:val="001C18CF"/>
    <w:rsid w:val="001C1BCB"/>
    <w:rsid w:val="001C1DE3"/>
    <w:rsid w:val="001D328E"/>
    <w:rsid w:val="001D6356"/>
    <w:rsid w:val="001D72A6"/>
    <w:rsid w:val="001D7667"/>
    <w:rsid w:val="001E0466"/>
    <w:rsid w:val="001E1561"/>
    <w:rsid w:val="001E2709"/>
    <w:rsid w:val="001F3E07"/>
    <w:rsid w:val="001F45D7"/>
    <w:rsid w:val="001F4740"/>
    <w:rsid w:val="001F5361"/>
    <w:rsid w:val="001F7D1E"/>
    <w:rsid w:val="00206308"/>
    <w:rsid w:val="002066DE"/>
    <w:rsid w:val="002079AA"/>
    <w:rsid w:val="002079AF"/>
    <w:rsid w:val="002119B2"/>
    <w:rsid w:val="002264FF"/>
    <w:rsid w:val="002319EF"/>
    <w:rsid w:val="00233C66"/>
    <w:rsid w:val="00234AD1"/>
    <w:rsid w:val="00234FC1"/>
    <w:rsid w:val="00241697"/>
    <w:rsid w:val="00244E48"/>
    <w:rsid w:val="00246936"/>
    <w:rsid w:val="00250197"/>
    <w:rsid w:val="00251BB0"/>
    <w:rsid w:val="002537C5"/>
    <w:rsid w:val="0025531C"/>
    <w:rsid w:val="002558A5"/>
    <w:rsid w:val="00256A8D"/>
    <w:rsid w:val="00257ECE"/>
    <w:rsid w:val="002620E4"/>
    <w:rsid w:val="00273E6F"/>
    <w:rsid w:val="0027541D"/>
    <w:rsid w:val="00281490"/>
    <w:rsid w:val="002815BA"/>
    <w:rsid w:val="00281C65"/>
    <w:rsid w:val="002823A8"/>
    <w:rsid w:val="0028771F"/>
    <w:rsid w:val="0029048D"/>
    <w:rsid w:val="002910C2"/>
    <w:rsid w:val="002A058A"/>
    <w:rsid w:val="002A6861"/>
    <w:rsid w:val="002B73B0"/>
    <w:rsid w:val="002C13E0"/>
    <w:rsid w:val="002C2081"/>
    <w:rsid w:val="002C571A"/>
    <w:rsid w:val="002D0F0D"/>
    <w:rsid w:val="002D1B4F"/>
    <w:rsid w:val="002D1B6E"/>
    <w:rsid w:val="002D3A00"/>
    <w:rsid w:val="002D3FAF"/>
    <w:rsid w:val="002D4030"/>
    <w:rsid w:val="002D451D"/>
    <w:rsid w:val="002D4871"/>
    <w:rsid w:val="002D5327"/>
    <w:rsid w:val="002D60B4"/>
    <w:rsid w:val="002E72FF"/>
    <w:rsid w:val="002F1308"/>
    <w:rsid w:val="002F3ED3"/>
    <w:rsid w:val="002F7603"/>
    <w:rsid w:val="002F78B7"/>
    <w:rsid w:val="002F790B"/>
    <w:rsid w:val="002F7B49"/>
    <w:rsid w:val="0030049A"/>
    <w:rsid w:val="00300882"/>
    <w:rsid w:val="00301197"/>
    <w:rsid w:val="00303681"/>
    <w:rsid w:val="003046C2"/>
    <w:rsid w:val="00311BD3"/>
    <w:rsid w:val="00311ED0"/>
    <w:rsid w:val="00316F06"/>
    <w:rsid w:val="003170E4"/>
    <w:rsid w:val="0031725A"/>
    <w:rsid w:val="00322A1A"/>
    <w:rsid w:val="00326638"/>
    <w:rsid w:val="00330D37"/>
    <w:rsid w:val="00331A8C"/>
    <w:rsid w:val="00334BAB"/>
    <w:rsid w:val="003367A4"/>
    <w:rsid w:val="00343569"/>
    <w:rsid w:val="00354727"/>
    <w:rsid w:val="003622A3"/>
    <w:rsid w:val="0036672B"/>
    <w:rsid w:val="00371BB1"/>
    <w:rsid w:val="003731B5"/>
    <w:rsid w:val="0037360B"/>
    <w:rsid w:val="0037453C"/>
    <w:rsid w:val="00376DE4"/>
    <w:rsid w:val="00380F67"/>
    <w:rsid w:val="00381B79"/>
    <w:rsid w:val="00381D05"/>
    <w:rsid w:val="00385DC9"/>
    <w:rsid w:val="00386420"/>
    <w:rsid w:val="003870AB"/>
    <w:rsid w:val="00387ACF"/>
    <w:rsid w:val="00387FDB"/>
    <w:rsid w:val="00391392"/>
    <w:rsid w:val="00392839"/>
    <w:rsid w:val="00393194"/>
    <w:rsid w:val="00395649"/>
    <w:rsid w:val="003968D3"/>
    <w:rsid w:val="003A023D"/>
    <w:rsid w:val="003B01F5"/>
    <w:rsid w:val="003B0C71"/>
    <w:rsid w:val="003B57C1"/>
    <w:rsid w:val="003B6024"/>
    <w:rsid w:val="003B7793"/>
    <w:rsid w:val="003B7C47"/>
    <w:rsid w:val="003C014B"/>
    <w:rsid w:val="003C02A1"/>
    <w:rsid w:val="003C3190"/>
    <w:rsid w:val="003D2671"/>
    <w:rsid w:val="003D4D8F"/>
    <w:rsid w:val="003E1004"/>
    <w:rsid w:val="003E1EB9"/>
    <w:rsid w:val="003E2813"/>
    <w:rsid w:val="003E4E88"/>
    <w:rsid w:val="003E6120"/>
    <w:rsid w:val="003E6502"/>
    <w:rsid w:val="003E66E3"/>
    <w:rsid w:val="003F216B"/>
    <w:rsid w:val="003F2373"/>
    <w:rsid w:val="003F5F08"/>
    <w:rsid w:val="003F77D2"/>
    <w:rsid w:val="0041052B"/>
    <w:rsid w:val="004111E9"/>
    <w:rsid w:val="004116B8"/>
    <w:rsid w:val="00412492"/>
    <w:rsid w:val="00415D9B"/>
    <w:rsid w:val="00416725"/>
    <w:rsid w:val="004201F1"/>
    <w:rsid w:val="004206B8"/>
    <w:rsid w:val="004247C9"/>
    <w:rsid w:val="0042531D"/>
    <w:rsid w:val="00426829"/>
    <w:rsid w:val="00427926"/>
    <w:rsid w:val="00431A3F"/>
    <w:rsid w:val="0043630E"/>
    <w:rsid w:val="004376DF"/>
    <w:rsid w:val="0044211B"/>
    <w:rsid w:val="00445F43"/>
    <w:rsid w:val="00450284"/>
    <w:rsid w:val="004517AA"/>
    <w:rsid w:val="00452FB5"/>
    <w:rsid w:val="00453E47"/>
    <w:rsid w:val="00454466"/>
    <w:rsid w:val="004549AC"/>
    <w:rsid w:val="00460E18"/>
    <w:rsid w:val="004624F8"/>
    <w:rsid w:val="004632CF"/>
    <w:rsid w:val="0046632E"/>
    <w:rsid w:val="0046790A"/>
    <w:rsid w:val="00471B90"/>
    <w:rsid w:val="004804AD"/>
    <w:rsid w:val="00482634"/>
    <w:rsid w:val="00487489"/>
    <w:rsid w:val="00496069"/>
    <w:rsid w:val="00497CE8"/>
    <w:rsid w:val="004A07F9"/>
    <w:rsid w:val="004A29A9"/>
    <w:rsid w:val="004A3083"/>
    <w:rsid w:val="004A43F0"/>
    <w:rsid w:val="004A7020"/>
    <w:rsid w:val="004B07CD"/>
    <w:rsid w:val="004B0B75"/>
    <w:rsid w:val="004B1587"/>
    <w:rsid w:val="004B335E"/>
    <w:rsid w:val="004B353E"/>
    <w:rsid w:val="004B3C29"/>
    <w:rsid w:val="004B4639"/>
    <w:rsid w:val="004B486E"/>
    <w:rsid w:val="004B5429"/>
    <w:rsid w:val="004B5467"/>
    <w:rsid w:val="004C3537"/>
    <w:rsid w:val="004C7900"/>
    <w:rsid w:val="004E06B5"/>
    <w:rsid w:val="004E132B"/>
    <w:rsid w:val="004E5B48"/>
    <w:rsid w:val="004E6947"/>
    <w:rsid w:val="004E6B1D"/>
    <w:rsid w:val="004E74E9"/>
    <w:rsid w:val="004F0108"/>
    <w:rsid w:val="004F0DA6"/>
    <w:rsid w:val="004F32CE"/>
    <w:rsid w:val="004F4020"/>
    <w:rsid w:val="004F4C16"/>
    <w:rsid w:val="004F4C42"/>
    <w:rsid w:val="004F531B"/>
    <w:rsid w:val="004F65E6"/>
    <w:rsid w:val="005068E6"/>
    <w:rsid w:val="00506B84"/>
    <w:rsid w:val="0051078A"/>
    <w:rsid w:val="005107D8"/>
    <w:rsid w:val="00512B66"/>
    <w:rsid w:val="00513330"/>
    <w:rsid w:val="00515221"/>
    <w:rsid w:val="00516A47"/>
    <w:rsid w:val="00522199"/>
    <w:rsid w:val="00522745"/>
    <w:rsid w:val="005229D6"/>
    <w:rsid w:val="005242B3"/>
    <w:rsid w:val="00525D61"/>
    <w:rsid w:val="005307BB"/>
    <w:rsid w:val="00532BA3"/>
    <w:rsid w:val="0053459A"/>
    <w:rsid w:val="00534B6A"/>
    <w:rsid w:val="00535307"/>
    <w:rsid w:val="00536548"/>
    <w:rsid w:val="005369A8"/>
    <w:rsid w:val="00536BFA"/>
    <w:rsid w:val="00537688"/>
    <w:rsid w:val="005411A8"/>
    <w:rsid w:val="005413DA"/>
    <w:rsid w:val="00547151"/>
    <w:rsid w:val="00547644"/>
    <w:rsid w:val="0055044C"/>
    <w:rsid w:val="00553DA0"/>
    <w:rsid w:val="00555507"/>
    <w:rsid w:val="005559C3"/>
    <w:rsid w:val="005572CE"/>
    <w:rsid w:val="00564B83"/>
    <w:rsid w:val="005719BE"/>
    <w:rsid w:val="00573D90"/>
    <w:rsid w:val="005761A7"/>
    <w:rsid w:val="00577352"/>
    <w:rsid w:val="00582F46"/>
    <w:rsid w:val="00585585"/>
    <w:rsid w:val="0058682C"/>
    <w:rsid w:val="00591AC3"/>
    <w:rsid w:val="005A4E71"/>
    <w:rsid w:val="005B1B72"/>
    <w:rsid w:val="005B32EB"/>
    <w:rsid w:val="005B5D1B"/>
    <w:rsid w:val="005C087F"/>
    <w:rsid w:val="005D1031"/>
    <w:rsid w:val="005D1955"/>
    <w:rsid w:val="005D22E8"/>
    <w:rsid w:val="005D32A3"/>
    <w:rsid w:val="005D3680"/>
    <w:rsid w:val="005D3F21"/>
    <w:rsid w:val="005D6123"/>
    <w:rsid w:val="005D77FE"/>
    <w:rsid w:val="005E188B"/>
    <w:rsid w:val="005E2BDD"/>
    <w:rsid w:val="005F1D26"/>
    <w:rsid w:val="005F22D5"/>
    <w:rsid w:val="005F41AB"/>
    <w:rsid w:val="00605B9A"/>
    <w:rsid w:val="00610199"/>
    <w:rsid w:val="0061084F"/>
    <w:rsid w:val="00611821"/>
    <w:rsid w:val="00612CBF"/>
    <w:rsid w:val="0061458E"/>
    <w:rsid w:val="006239E5"/>
    <w:rsid w:val="00627187"/>
    <w:rsid w:val="0063205F"/>
    <w:rsid w:val="00636563"/>
    <w:rsid w:val="00640CC6"/>
    <w:rsid w:val="006431EA"/>
    <w:rsid w:val="006447A7"/>
    <w:rsid w:val="00645F62"/>
    <w:rsid w:val="00646EC2"/>
    <w:rsid w:val="0065790C"/>
    <w:rsid w:val="0066279D"/>
    <w:rsid w:val="00662EDE"/>
    <w:rsid w:val="006658FC"/>
    <w:rsid w:val="00665ACC"/>
    <w:rsid w:val="00666E51"/>
    <w:rsid w:val="0067399C"/>
    <w:rsid w:val="00674BE1"/>
    <w:rsid w:val="0067610D"/>
    <w:rsid w:val="006775B7"/>
    <w:rsid w:val="0068117D"/>
    <w:rsid w:val="00685E82"/>
    <w:rsid w:val="00686006"/>
    <w:rsid w:val="0068798D"/>
    <w:rsid w:val="00690426"/>
    <w:rsid w:val="006908D4"/>
    <w:rsid w:val="00696676"/>
    <w:rsid w:val="006A1EA0"/>
    <w:rsid w:val="006A5B58"/>
    <w:rsid w:val="006A7ABF"/>
    <w:rsid w:val="006B5E2D"/>
    <w:rsid w:val="006C6BF0"/>
    <w:rsid w:val="006D1ECA"/>
    <w:rsid w:val="006D3719"/>
    <w:rsid w:val="006D39C1"/>
    <w:rsid w:val="006D732A"/>
    <w:rsid w:val="006E088E"/>
    <w:rsid w:val="006E19A0"/>
    <w:rsid w:val="006E705F"/>
    <w:rsid w:val="006F2B08"/>
    <w:rsid w:val="006F6C11"/>
    <w:rsid w:val="006F7E59"/>
    <w:rsid w:val="00700CC2"/>
    <w:rsid w:val="00703358"/>
    <w:rsid w:val="00707D85"/>
    <w:rsid w:val="00711757"/>
    <w:rsid w:val="00715779"/>
    <w:rsid w:val="00716203"/>
    <w:rsid w:val="007230BE"/>
    <w:rsid w:val="00724133"/>
    <w:rsid w:val="007249EE"/>
    <w:rsid w:val="00730585"/>
    <w:rsid w:val="00730E0F"/>
    <w:rsid w:val="007316F2"/>
    <w:rsid w:val="00741B72"/>
    <w:rsid w:val="007453D9"/>
    <w:rsid w:val="00751817"/>
    <w:rsid w:val="00751B2B"/>
    <w:rsid w:val="00756114"/>
    <w:rsid w:val="00760825"/>
    <w:rsid w:val="0076169D"/>
    <w:rsid w:val="00772C55"/>
    <w:rsid w:val="00776CD5"/>
    <w:rsid w:val="00776CE7"/>
    <w:rsid w:val="007827FD"/>
    <w:rsid w:val="007844C2"/>
    <w:rsid w:val="00785DF1"/>
    <w:rsid w:val="007929EE"/>
    <w:rsid w:val="00793FD3"/>
    <w:rsid w:val="00796304"/>
    <w:rsid w:val="007A6E83"/>
    <w:rsid w:val="007A7868"/>
    <w:rsid w:val="007B0CB3"/>
    <w:rsid w:val="007B188D"/>
    <w:rsid w:val="007B1A84"/>
    <w:rsid w:val="007B1B1C"/>
    <w:rsid w:val="007B41F2"/>
    <w:rsid w:val="007B5BE0"/>
    <w:rsid w:val="007B699E"/>
    <w:rsid w:val="007C306C"/>
    <w:rsid w:val="007D10AB"/>
    <w:rsid w:val="007D1234"/>
    <w:rsid w:val="007D1F3A"/>
    <w:rsid w:val="007D48C6"/>
    <w:rsid w:val="007E380B"/>
    <w:rsid w:val="007E4FB8"/>
    <w:rsid w:val="007F04E2"/>
    <w:rsid w:val="007F59A5"/>
    <w:rsid w:val="007F5F5C"/>
    <w:rsid w:val="007F6174"/>
    <w:rsid w:val="00801D8B"/>
    <w:rsid w:val="00801E23"/>
    <w:rsid w:val="00801EFD"/>
    <w:rsid w:val="00810668"/>
    <w:rsid w:val="00810A08"/>
    <w:rsid w:val="00812002"/>
    <w:rsid w:val="00814A2D"/>
    <w:rsid w:val="00817DC0"/>
    <w:rsid w:val="0082055A"/>
    <w:rsid w:val="008233AF"/>
    <w:rsid w:val="00827243"/>
    <w:rsid w:val="008304CF"/>
    <w:rsid w:val="008314F2"/>
    <w:rsid w:val="008346D5"/>
    <w:rsid w:val="00845D41"/>
    <w:rsid w:val="0084799D"/>
    <w:rsid w:val="00852F5F"/>
    <w:rsid w:val="0085445B"/>
    <w:rsid w:val="00855B4A"/>
    <w:rsid w:val="00857373"/>
    <w:rsid w:val="00857632"/>
    <w:rsid w:val="00863FFF"/>
    <w:rsid w:val="00870072"/>
    <w:rsid w:val="0087060A"/>
    <w:rsid w:val="00870AD7"/>
    <w:rsid w:val="00874295"/>
    <w:rsid w:val="008769E2"/>
    <w:rsid w:val="008803B2"/>
    <w:rsid w:val="00884BD2"/>
    <w:rsid w:val="00885DFA"/>
    <w:rsid w:val="008879C4"/>
    <w:rsid w:val="008879D6"/>
    <w:rsid w:val="00890719"/>
    <w:rsid w:val="008913A3"/>
    <w:rsid w:val="0089380C"/>
    <w:rsid w:val="00894235"/>
    <w:rsid w:val="00894CC7"/>
    <w:rsid w:val="008A2FC4"/>
    <w:rsid w:val="008A3E6C"/>
    <w:rsid w:val="008A5C12"/>
    <w:rsid w:val="008B140F"/>
    <w:rsid w:val="008B4112"/>
    <w:rsid w:val="008C0AEF"/>
    <w:rsid w:val="008D1F0E"/>
    <w:rsid w:val="008D7A9F"/>
    <w:rsid w:val="008F2826"/>
    <w:rsid w:val="008F4BB5"/>
    <w:rsid w:val="00902086"/>
    <w:rsid w:val="00903223"/>
    <w:rsid w:val="009051D8"/>
    <w:rsid w:val="00907F31"/>
    <w:rsid w:val="00910E6D"/>
    <w:rsid w:val="00913756"/>
    <w:rsid w:val="009156BA"/>
    <w:rsid w:val="009168C2"/>
    <w:rsid w:val="00917421"/>
    <w:rsid w:val="00923298"/>
    <w:rsid w:val="0092753A"/>
    <w:rsid w:val="009277C0"/>
    <w:rsid w:val="00933EC5"/>
    <w:rsid w:val="00934636"/>
    <w:rsid w:val="00941A2D"/>
    <w:rsid w:val="00942999"/>
    <w:rsid w:val="009448D5"/>
    <w:rsid w:val="00944FE2"/>
    <w:rsid w:val="00947962"/>
    <w:rsid w:val="00947E87"/>
    <w:rsid w:val="00951E7A"/>
    <w:rsid w:val="00956C7E"/>
    <w:rsid w:val="0096195F"/>
    <w:rsid w:val="00962A86"/>
    <w:rsid w:val="009634F1"/>
    <w:rsid w:val="00963AFE"/>
    <w:rsid w:val="00964B07"/>
    <w:rsid w:val="00966499"/>
    <w:rsid w:val="009701DA"/>
    <w:rsid w:val="0097099C"/>
    <w:rsid w:val="00971C24"/>
    <w:rsid w:val="00973875"/>
    <w:rsid w:val="009769C5"/>
    <w:rsid w:val="00982B67"/>
    <w:rsid w:val="00986790"/>
    <w:rsid w:val="00986DCE"/>
    <w:rsid w:val="0098732F"/>
    <w:rsid w:val="0098798C"/>
    <w:rsid w:val="00991BD0"/>
    <w:rsid w:val="00997E4E"/>
    <w:rsid w:val="009A0BC5"/>
    <w:rsid w:val="009A1712"/>
    <w:rsid w:val="009A19A5"/>
    <w:rsid w:val="009A1BFB"/>
    <w:rsid w:val="009A440F"/>
    <w:rsid w:val="009B46CC"/>
    <w:rsid w:val="009B611C"/>
    <w:rsid w:val="009C06A0"/>
    <w:rsid w:val="009C2677"/>
    <w:rsid w:val="009C6C5F"/>
    <w:rsid w:val="009C7CB0"/>
    <w:rsid w:val="009D124F"/>
    <w:rsid w:val="009D2965"/>
    <w:rsid w:val="009E2168"/>
    <w:rsid w:val="009F1ABE"/>
    <w:rsid w:val="009F7137"/>
    <w:rsid w:val="00A007D9"/>
    <w:rsid w:val="00A02645"/>
    <w:rsid w:val="00A03A6F"/>
    <w:rsid w:val="00A0486B"/>
    <w:rsid w:val="00A07B8D"/>
    <w:rsid w:val="00A11ED2"/>
    <w:rsid w:val="00A173E0"/>
    <w:rsid w:val="00A17F03"/>
    <w:rsid w:val="00A22BFC"/>
    <w:rsid w:val="00A25A54"/>
    <w:rsid w:val="00A2723F"/>
    <w:rsid w:val="00A277B2"/>
    <w:rsid w:val="00A301AD"/>
    <w:rsid w:val="00A3257B"/>
    <w:rsid w:val="00A3372A"/>
    <w:rsid w:val="00A3764F"/>
    <w:rsid w:val="00A41046"/>
    <w:rsid w:val="00A44556"/>
    <w:rsid w:val="00A460C2"/>
    <w:rsid w:val="00A51ED7"/>
    <w:rsid w:val="00A53138"/>
    <w:rsid w:val="00A5342E"/>
    <w:rsid w:val="00A54CEA"/>
    <w:rsid w:val="00A55493"/>
    <w:rsid w:val="00A562D7"/>
    <w:rsid w:val="00A6435C"/>
    <w:rsid w:val="00A67E79"/>
    <w:rsid w:val="00A773B5"/>
    <w:rsid w:val="00A81495"/>
    <w:rsid w:val="00A8175B"/>
    <w:rsid w:val="00A85B49"/>
    <w:rsid w:val="00AA6052"/>
    <w:rsid w:val="00AB0FBB"/>
    <w:rsid w:val="00AB2CF6"/>
    <w:rsid w:val="00AB7798"/>
    <w:rsid w:val="00AC223D"/>
    <w:rsid w:val="00AC2EF3"/>
    <w:rsid w:val="00AC41B5"/>
    <w:rsid w:val="00AC422B"/>
    <w:rsid w:val="00AC7F98"/>
    <w:rsid w:val="00AD0280"/>
    <w:rsid w:val="00AD076C"/>
    <w:rsid w:val="00AD5907"/>
    <w:rsid w:val="00AD5D4A"/>
    <w:rsid w:val="00AE65EB"/>
    <w:rsid w:val="00AF0739"/>
    <w:rsid w:val="00AF1E88"/>
    <w:rsid w:val="00AF20BF"/>
    <w:rsid w:val="00AF23DB"/>
    <w:rsid w:val="00B04668"/>
    <w:rsid w:val="00B15FDB"/>
    <w:rsid w:val="00B2591A"/>
    <w:rsid w:val="00B26B7B"/>
    <w:rsid w:val="00B31DE8"/>
    <w:rsid w:val="00B31F5C"/>
    <w:rsid w:val="00B44019"/>
    <w:rsid w:val="00B453D1"/>
    <w:rsid w:val="00B50298"/>
    <w:rsid w:val="00B51F42"/>
    <w:rsid w:val="00B52FA6"/>
    <w:rsid w:val="00B5616D"/>
    <w:rsid w:val="00B574C9"/>
    <w:rsid w:val="00B60F2B"/>
    <w:rsid w:val="00B61EBA"/>
    <w:rsid w:val="00B65D88"/>
    <w:rsid w:val="00B66673"/>
    <w:rsid w:val="00B76B0F"/>
    <w:rsid w:val="00B76F88"/>
    <w:rsid w:val="00B83F2D"/>
    <w:rsid w:val="00B851C4"/>
    <w:rsid w:val="00B86964"/>
    <w:rsid w:val="00B8745F"/>
    <w:rsid w:val="00B879E3"/>
    <w:rsid w:val="00B87C54"/>
    <w:rsid w:val="00B90BFD"/>
    <w:rsid w:val="00B9573D"/>
    <w:rsid w:val="00BA13D2"/>
    <w:rsid w:val="00BA2E27"/>
    <w:rsid w:val="00BA4204"/>
    <w:rsid w:val="00BA4E53"/>
    <w:rsid w:val="00BA5F28"/>
    <w:rsid w:val="00BA72FE"/>
    <w:rsid w:val="00BB01E3"/>
    <w:rsid w:val="00BB1A2A"/>
    <w:rsid w:val="00BB2542"/>
    <w:rsid w:val="00BB4968"/>
    <w:rsid w:val="00BB4E47"/>
    <w:rsid w:val="00BB6C05"/>
    <w:rsid w:val="00BB7B19"/>
    <w:rsid w:val="00BC0995"/>
    <w:rsid w:val="00BC348F"/>
    <w:rsid w:val="00BC4504"/>
    <w:rsid w:val="00BC61FD"/>
    <w:rsid w:val="00BD3D3C"/>
    <w:rsid w:val="00BD3F68"/>
    <w:rsid w:val="00BD55FA"/>
    <w:rsid w:val="00BD6209"/>
    <w:rsid w:val="00BE088E"/>
    <w:rsid w:val="00BE1BF3"/>
    <w:rsid w:val="00BE2F40"/>
    <w:rsid w:val="00BE402D"/>
    <w:rsid w:val="00BE5A9B"/>
    <w:rsid w:val="00BE630C"/>
    <w:rsid w:val="00BE7B54"/>
    <w:rsid w:val="00BF0074"/>
    <w:rsid w:val="00BF01A5"/>
    <w:rsid w:val="00BF63FD"/>
    <w:rsid w:val="00BF6736"/>
    <w:rsid w:val="00C000D0"/>
    <w:rsid w:val="00C00233"/>
    <w:rsid w:val="00C01262"/>
    <w:rsid w:val="00C03847"/>
    <w:rsid w:val="00C06289"/>
    <w:rsid w:val="00C06E4E"/>
    <w:rsid w:val="00C07210"/>
    <w:rsid w:val="00C07ADA"/>
    <w:rsid w:val="00C11245"/>
    <w:rsid w:val="00C128C9"/>
    <w:rsid w:val="00C22DDD"/>
    <w:rsid w:val="00C24DEE"/>
    <w:rsid w:val="00C25137"/>
    <w:rsid w:val="00C253DA"/>
    <w:rsid w:val="00C30096"/>
    <w:rsid w:val="00C30190"/>
    <w:rsid w:val="00C31C42"/>
    <w:rsid w:val="00C32748"/>
    <w:rsid w:val="00C3362E"/>
    <w:rsid w:val="00C3477A"/>
    <w:rsid w:val="00C348A7"/>
    <w:rsid w:val="00C36D90"/>
    <w:rsid w:val="00C41918"/>
    <w:rsid w:val="00C47D2C"/>
    <w:rsid w:val="00C51603"/>
    <w:rsid w:val="00C51BFC"/>
    <w:rsid w:val="00C51EAF"/>
    <w:rsid w:val="00C535B9"/>
    <w:rsid w:val="00C539FC"/>
    <w:rsid w:val="00C553F4"/>
    <w:rsid w:val="00C556ED"/>
    <w:rsid w:val="00C558E7"/>
    <w:rsid w:val="00C615DA"/>
    <w:rsid w:val="00C63638"/>
    <w:rsid w:val="00C64F60"/>
    <w:rsid w:val="00C65315"/>
    <w:rsid w:val="00C67BB9"/>
    <w:rsid w:val="00C71265"/>
    <w:rsid w:val="00C72014"/>
    <w:rsid w:val="00C724F2"/>
    <w:rsid w:val="00C73656"/>
    <w:rsid w:val="00C75580"/>
    <w:rsid w:val="00C755D1"/>
    <w:rsid w:val="00C7600A"/>
    <w:rsid w:val="00C80A2B"/>
    <w:rsid w:val="00C82198"/>
    <w:rsid w:val="00C8561E"/>
    <w:rsid w:val="00C926E6"/>
    <w:rsid w:val="00C93B21"/>
    <w:rsid w:val="00C94ED2"/>
    <w:rsid w:val="00C96538"/>
    <w:rsid w:val="00C96DC8"/>
    <w:rsid w:val="00CA1D2E"/>
    <w:rsid w:val="00CA29E6"/>
    <w:rsid w:val="00CB2780"/>
    <w:rsid w:val="00CB29FB"/>
    <w:rsid w:val="00CB2FCF"/>
    <w:rsid w:val="00CB3CC1"/>
    <w:rsid w:val="00CB4305"/>
    <w:rsid w:val="00CB5D08"/>
    <w:rsid w:val="00CC08A4"/>
    <w:rsid w:val="00CC40DE"/>
    <w:rsid w:val="00CC504D"/>
    <w:rsid w:val="00CD2289"/>
    <w:rsid w:val="00CD24BE"/>
    <w:rsid w:val="00CD2F03"/>
    <w:rsid w:val="00CD3AC1"/>
    <w:rsid w:val="00CD7672"/>
    <w:rsid w:val="00CE1B88"/>
    <w:rsid w:val="00CE1C2D"/>
    <w:rsid w:val="00CE2189"/>
    <w:rsid w:val="00CE28C4"/>
    <w:rsid w:val="00CE2A47"/>
    <w:rsid w:val="00CE38C3"/>
    <w:rsid w:val="00D0036A"/>
    <w:rsid w:val="00D017A8"/>
    <w:rsid w:val="00D033EA"/>
    <w:rsid w:val="00D04DD4"/>
    <w:rsid w:val="00D11910"/>
    <w:rsid w:val="00D23CAC"/>
    <w:rsid w:val="00D23E79"/>
    <w:rsid w:val="00D26D44"/>
    <w:rsid w:val="00D26DBC"/>
    <w:rsid w:val="00D270B8"/>
    <w:rsid w:val="00D27B31"/>
    <w:rsid w:val="00D27D5B"/>
    <w:rsid w:val="00D318F0"/>
    <w:rsid w:val="00D3219E"/>
    <w:rsid w:val="00D35BF1"/>
    <w:rsid w:val="00D37631"/>
    <w:rsid w:val="00D3773B"/>
    <w:rsid w:val="00D42047"/>
    <w:rsid w:val="00D44077"/>
    <w:rsid w:val="00D4517E"/>
    <w:rsid w:val="00D4756B"/>
    <w:rsid w:val="00D50D86"/>
    <w:rsid w:val="00D50D9A"/>
    <w:rsid w:val="00D559AD"/>
    <w:rsid w:val="00D566C0"/>
    <w:rsid w:val="00D6393A"/>
    <w:rsid w:val="00D64934"/>
    <w:rsid w:val="00D67143"/>
    <w:rsid w:val="00D724C2"/>
    <w:rsid w:val="00D77141"/>
    <w:rsid w:val="00D844C2"/>
    <w:rsid w:val="00D9069C"/>
    <w:rsid w:val="00D95C7D"/>
    <w:rsid w:val="00DA09C8"/>
    <w:rsid w:val="00DA2B94"/>
    <w:rsid w:val="00DB130E"/>
    <w:rsid w:val="00DC02DC"/>
    <w:rsid w:val="00DC2217"/>
    <w:rsid w:val="00DC6618"/>
    <w:rsid w:val="00DC70AB"/>
    <w:rsid w:val="00DD747E"/>
    <w:rsid w:val="00DD7C21"/>
    <w:rsid w:val="00DE3622"/>
    <w:rsid w:val="00DE4C20"/>
    <w:rsid w:val="00DE4E3E"/>
    <w:rsid w:val="00DE62AB"/>
    <w:rsid w:val="00DF03F4"/>
    <w:rsid w:val="00DF2DF9"/>
    <w:rsid w:val="00E00B84"/>
    <w:rsid w:val="00E014F2"/>
    <w:rsid w:val="00E015E5"/>
    <w:rsid w:val="00E01DD5"/>
    <w:rsid w:val="00E07544"/>
    <w:rsid w:val="00E10DDA"/>
    <w:rsid w:val="00E16427"/>
    <w:rsid w:val="00E223BA"/>
    <w:rsid w:val="00E2471D"/>
    <w:rsid w:val="00E254FD"/>
    <w:rsid w:val="00E25599"/>
    <w:rsid w:val="00E25618"/>
    <w:rsid w:val="00E27E48"/>
    <w:rsid w:val="00E33E30"/>
    <w:rsid w:val="00E371BD"/>
    <w:rsid w:val="00E43A80"/>
    <w:rsid w:val="00E43C3D"/>
    <w:rsid w:val="00E44D1A"/>
    <w:rsid w:val="00E45895"/>
    <w:rsid w:val="00E464F8"/>
    <w:rsid w:val="00E46F1E"/>
    <w:rsid w:val="00E46FA1"/>
    <w:rsid w:val="00E4733B"/>
    <w:rsid w:val="00E53F2B"/>
    <w:rsid w:val="00E54FEE"/>
    <w:rsid w:val="00E575A6"/>
    <w:rsid w:val="00E6646D"/>
    <w:rsid w:val="00E71C65"/>
    <w:rsid w:val="00E7334B"/>
    <w:rsid w:val="00E76683"/>
    <w:rsid w:val="00E76BD8"/>
    <w:rsid w:val="00E859A8"/>
    <w:rsid w:val="00E86BA1"/>
    <w:rsid w:val="00E9029F"/>
    <w:rsid w:val="00E943F0"/>
    <w:rsid w:val="00E94BCA"/>
    <w:rsid w:val="00E95E3A"/>
    <w:rsid w:val="00E95F99"/>
    <w:rsid w:val="00E970C0"/>
    <w:rsid w:val="00EA0FC6"/>
    <w:rsid w:val="00EA5D85"/>
    <w:rsid w:val="00EB3A99"/>
    <w:rsid w:val="00EB4E83"/>
    <w:rsid w:val="00EB7D66"/>
    <w:rsid w:val="00EC01EB"/>
    <w:rsid w:val="00EC45FD"/>
    <w:rsid w:val="00EC6D1D"/>
    <w:rsid w:val="00ED0EE3"/>
    <w:rsid w:val="00EE1320"/>
    <w:rsid w:val="00EE18AB"/>
    <w:rsid w:val="00EE674A"/>
    <w:rsid w:val="00EF31C9"/>
    <w:rsid w:val="00EF38C2"/>
    <w:rsid w:val="00EF658A"/>
    <w:rsid w:val="00F04A6B"/>
    <w:rsid w:val="00F07E0A"/>
    <w:rsid w:val="00F103B6"/>
    <w:rsid w:val="00F10C7B"/>
    <w:rsid w:val="00F24595"/>
    <w:rsid w:val="00F263F6"/>
    <w:rsid w:val="00F37316"/>
    <w:rsid w:val="00F40329"/>
    <w:rsid w:val="00F4190B"/>
    <w:rsid w:val="00F440BF"/>
    <w:rsid w:val="00F5148A"/>
    <w:rsid w:val="00F52DF0"/>
    <w:rsid w:val="00F54237"/>
    <w:rsid w:val="00F627C9"/>
    <w:rsid w:val="00F62BC5"/>
    <w:rsid w:val="00F6525E"/>
    <w:rsid w:val="00F7012F"/>
    <w:rsid w:val="00F7108D"/>
    <w:rsid w:val="00F715BF"/>
    <w:rsid w:val="00F74994"/>
    <w:rsid w:val="00F82A04"/>
    <w:rsid w:val="00F86DC7"/>
    <w:rsid w:val="00F87A53"/>
    <w:rsid w:val="00F9051B"/>
    <w:rsid w:val="00F92EE9"/>
    <w:rsid w:val="00F95DB9"/>
    <w:rsid w:val="00F978C3"/>
    <w:rsid w:val="00FA0100"/>
    <w:rsid w:val="00FA017D"/>
    <w:rsid w:val="00FA13A7"/>
    <w:rsid w:val="00FA5E40"/>
    <w:rsid w:val="00FA6063"/>
    <w:rsid w:val="00FB1397"/>
    <w:rsid w:val="00FB3FA5"/>
    <w:rsid w:val="00FB54F6"/>
    <w:rsid w:val="00FB6E3A"/>
    <w:rsid w:val="00FC5A13"/>
    <w:rsid w:val="00FC7436"/>
    <w:rsid w:val="00FD04BD"/>
    <w:rsid w:val="00FD2353"/>
    <w:rsid w:val="00FD30DC"/>
    <w:rsid w:val="00FD4A54"/>
    <w:rsid w:val="00FD58D8"/>
    <w:rsid w:val="00FD5D1B"/>
    <w:rsid w:val="00FF2846"/>
    <w:rsid w:val="00FF53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799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353"/>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F03"/>
    <w:rPr>
      <w:sz w:val="18"/>
      <w:szCs w:val="18"/>
    </w:rPr>
  </w:style>
  <w:style w:type="paragraph" w:styleId="CommentText">
    <w:name w:val="annotation text"/>
    <w:basedOn w:val="Normal"/>
    <w:link w:val="CommentTextChar"/>
    <w:uiPriority w:val="99"/>
    <w:semiHidden/>
    <w:unhideWhenUsed/>
    <w:rsid w:val="00A17F03"/>
    <w:rPr>
      <w:rFonts w:asciiTheme="majorHAnsi" w:eastAsiaTheme="minorEastAsia" w:hAnsiTheme="majorHAnsi" w:cstheme="minorBidi"/>
    </w:rPr>
  </w:style>
  <w:style w:type="character" w:customStyle="1" w:styleId="CommentTextChar">
    <w:name w:val="Comment Text Char"/>
    <w:basedOn w:val="DefaultParagraphFont"/>
    <w:link w:val="CommentText"/>
    <w:uiPriority w:val="99"/>
    <w:semiHidden/>
    <w:rsid w:val="00A17F03"/>
    <w:rPr>
      <w:rFonts w:asciiTheme="majorHAnsi" w:eastAsiaTheme="minorEastAsia" w:hAnsiTheme="majorHAnsi"/>
    </w:rPr>
  </w:style>
  <w:style w:type="character" w:styleId="Hyperlink">
    <w:name w:val="Hyperlink"/>
    <w:basedOn w:val="DefaultParagraphFont"/>
    <w:uiPriority w:val="99"/>
    <w:unhideWhenUsed/>
    <w:rsid w:val="00A17F03"/>
    <w:rPr>
      <w:color w:val="0563C1" w:themeColor="hyperlink"/>
      <w:u w:val="single"/>
    </w:rPr>
  </w:style>
  <w:style w:type="paragraph" w:styleId="BalloonText">
    <w:name w:val="Balloon Text"/>
    <w:basedOn w:val="Normal"/>
    <w:link w:val="BalloonTextChar"/>
    <w:uiPriority w:val="99"/>
    <w:semiHidden/>
    <w:unhideWhenUsed/>
    <w:rsid w:val="00A17F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7F03"/>
    <w:rPr>
      <w:rFonts w:ascii="Lucida Grande" w:hAnsi="Lucida Grande" w:cs="Lucida Grande"/>
      <w:sz w:val="18"/>
      <w:szCs w:val="18"/>
    </w:rPr>
  </w:style>
  <w:style w:type="paragraph" w:styleId="ListParagraph">
    <w:name w:val="List Paragraph"/>
    <w:basedOn w:val="Normal"/>
    <w:uiPriority w:val="34"/>
    <w:qFormat/>
    <w:rsid w:val="00DF2DF9"/>
    <w:pPr>
      <w:ind w:left="720"/>
      <w:contextualSpacing/>
    </w:pPr>
    <w:rPr>
      <w:rFonts w:cstheme="minorBidi"/>
    </w:rPr>
  </w:style>
  <w:style w:type="paragraph" w:styleId="CommentSubject">
    <w:name w:val="annotation subject"/>
    <w:basedOn w:val="CommentText"/>
    <w:next w:val="CommentText"/>
    <w:link w:val="CommentSubjectChar"/>
    <w:uiPriority w:val="99"/>
    <w:semiHidden/>
    <w:unhideWhenUsed/>
    <w:rsid w:val="00665ACC"/>
    <w:rPr>
      <w:rFonts w:ascii="Times New Roman" w:eastAsiaTheme="minorHAnsi" w:hAnsi="Times New Roman"/>
      <w:b/>
      <w:bCs/>
      <w:sz w:val="20"/>
      <w:szCs w:val="20"/>
    </w:rPr>
  </w:style>
  <w:style w:type="character" w:customStyle="1" w:styleId="CommentSubjectChar">
    <w:name w:val="Comment Subject Char"/>
    <w:basedOn w:val="CommentTextChar"/>
    <w:link w:val="CommentSubject"/>
    <w:uiPriority w:val="99"/>
    <w:semiHidden/>
    <w:rsid w:val="00665ACC"/>
    <w:rPr>
      <w:rFonts w:asciiTheme="majorHAnsi" w:eastAsiaTheme="minorEastAsia" w:hAnsiTheme="majorHAnsi"/>
      <w:b/>
      <w:bCs/>
      <w:sz w:val="20"/>
      <w:szCs w:val="20"/>
    </w:rPr>
  </w:style>
  <w:style w:type="paragraph" w:styleId="Revision">
    <w:name w:val="Revision"/>
    <w:hidden/>
    <w:uiPriority w:val="99"/>
    <w:semiHidden/>
    <w:rsid w:val="00AE65EB"/>
  </w:style>
  <w:style w:type="character" w:customStyle="1" w:styleId="apple-style-span">
    <w:name w:val="apple-style-span"/>
    <w:basedOn w:val="DefaultParagraphFont"/>
    <w:rsid w:val="00BF6736"/>
  </w:style>
  <w:style w:type="paragraph" w:styleId="NormalWeb">
    <w:name w:val="Normal (Web)"/>
    <w:basedOn w:val="Normal"/>
    <w:uiPriority w:val="99"/>
    <w:unhideWhenUsed/>
    <w:rsid w:val="00EE674A"/>
    <w:pPr>
      <w:spacing w:before="100" w:beforeAutospacing="1" w:after="100" w:afterAutospacing="1"/>
    </w:pPr>
  </w:style>
  <w:style w:type="character" w:styleId="FollowedHyperlink">
    <w:name w:val="FollowedHyperlink"/>
    <w:basedOn w:val="DefaultParagraphFont"/>
    <w:uiPriority w:val="99"/>
    <w:semiHidden/>
    <w:unhideWhenUsed/>
    <w:rsid w:val="00941A2D"/>
    <w:rPr>
      <w:color w:val="954F72" w:themeColor="followedHyperlink"/>
      <w:u w:val="single"/>
    </w:rPr>
  </w:style>
  <w:style w:type="table" w:styleId="TableGrid">
    <w:name w:val="Table Grid"/>
    <w:basedOn w:val="TableNormal"/>
    <w:uiPriority w:val="39"/>
    <w:rsid w:val="001A2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2119B2"/>
  </w:style>
  <w:style w:type="paragraph" w:styleId="Footer">
    <w:name w:val="footer"/>
    <w:basedOn w:val="Normal"/>
    <w:link w:val="FooterChar"/>
    <w:uiPriority w:val="99"/>
    <w:unhideWhenUsed/>
    <w:rsid w:val="00CE1C2D"/>
    <w:pPr>
      <w:tabs>
        <w:tab w:val="center" w:pos="4680"/>
        <w:tab w:val="right" w:pos="9360"/>
      </w:tabs>
    </w:pPr>
  </w:style>
  <w:style w:type="character" w:customStyle="1" w:styleId="FooterChar">
    <w:name w:val="Footer Char"/>
    <w:basedOn w:val="DefaultParagraphFont"/>
    <w:link w:val="Footer"/>
    <w:uiPriority w:val="99"/>
    <w:rsid w:val="00CE1C2D"/>
    <w:rPr>
      <w:rFonts w:cs="Times New Roman"/>
    </w:rPr>
  </w:style>
  <w:style w:type="character" w:styleId="PageNumber">
    <w:name w:val="page number"/>
    <w:basedOn w:val="DefaultParagraphFont"/>
    <w:uiPriority w:val="99"/>
    <w:semiHidden/>
    <w:unhideWhenUsed/>
    <w:rsid w:val="00CE1C2D"/>
  </w:style>
  <w:style w:type="paragraph" w:styleId="Header">
    <w:name w:val="header"/>
    <w:basedOn w:val="Normal"/>
    <w:link w:val="HeaderChar"/>
    <w:uiPriority w:val="99"/>
    <w:unhideWhenUsed/>
    <w:rsid w:val="00801D8B"/>
    <w:pPr>
      <w:tabs>
        <w:tab w:val="center" w:pos="4680"/>
        <w:tab w:val="right" w:pos="9360"/>
      </w:tabs>
    </w:pPr>
  </w:style>
  <w:style w:type="character" w:customStyle="1" w:styleId="HeaderChar">
    <w:name w:val="Header Char"/>
    <w:basedOn w:val="DefaultParagraphFont"/>
    <w:link w:val="Header"/>
    <w:uiPriority w:val="99"/>
    <w:rsid w:val="00801D8B"/>
    <w:rPr>
      <w:rFonts w:cs="Times New Roman"/>
    </w:rPr>
  </w:style>
  <w:style w:type="paragraph" w:styleId="DocumentMap">
    <w:name w:val="Document Map"/>
    <w:basedOn w:val="Normal"/>
    <w:link w:val="DocumentMapChar"/>
    <w:uiPriority w:val="99"/>
    <w:semiHidden/>
    <w:unhideWhenUsed/>
    <w:rsid w:val="0053459A"/>
  </w:style>
  <w:style w:type="character" w:customStyle="1" w:styleId="DocumentMapChar">
    <w:name w:val="Document Map Char"/>
    <w:basedOn w:val="DefaultParagraphFont"/>
    <w:link w:val="DocumentMap"/>
    <w:uiPriority w:val="99"/>
    <w:semiHidden/>
    <w:rsid w:val="005345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408">
      <w:bodyDiv w:val="1"/>
      <w:marLeft w:val="0"/>
      <w:marRight w:val="0"/>
      <w:marTop w:val="0"/>
      <w:marBottom w:val="0"/>
      <w:divBdr>
        <w:top w:val="none" w:sz="0" w:space="0" w:color="auto"/>
        <w:left w:val="none" w:sz="0" w:space="0" w:color="auto"/>
        <w:bottom w:val="none" w:sz="0" w:space="0" w:color="auto"/>
        <w:right w:val="none" w:sz="0" w:space="0" w:color="auto"/>
      </w:divBdr>
    </w:div>
    <w:div w:id="104155270">
      <w:bodyDiv w:val="1"/>
      <w:marLeft w:val="0"/>
      <w:marRight w:val="0"/>
      <w:marTop w:val="0"/>
      <w:marBottom w:val="0"/>
      <w:divBdr>
        <w:top w:val="none" w:sz="0" w:space="0" w:color="auto"/>
        <w:left w:val="none" w:sz="0" w:space="0" w:color="auto"/>
        <w:bottom w:val="none" w:sz="0" w:space="0" w:color="auto"/>
        <w:right w:val="none" w:sz="0" w:space="0" w:color="auto"/>
      </w:divBdr>
    </w:div>
    <w:div w:id="114518796">
      <w:bodyDiv w:val="1"/>
      <w:marLeft w:val="0"/>
      <w:marRight w:val="0"/>
      <w:marTop w:val="0"/>
      <w:marBottom w:val="0"/>
      <w:divBdr>
        <w:top w:val="none" w:sz="0" w:space="0" w:color="auto"/>
        <w:left w:val="none" w:sz="0" w:space="0" w:color="auto"/>
        <w:bottom w:val="none" w:sz="0" w:space="0" w:color="auto"/>
        <w:right w:val="none" w:sz="0" w:space="0" w:color="auto"/>
      </w:divBdr>
    </w:div>
    <w:div w:id="175272808">
      <w:bodyDiv w:val="1"/>
      <w:marLeft w:val="0"/>
      <w:marRight w:val="0"/>
      <w:marTop w:val="0"/>
      <w:marBottom w:val="0"/>
      <w:divBdr>
        <w:top w:val="none" w:sz="0" w:space="0" w:color="auto"/>
        <w:left w:val="none" w:sz="0" w:space="0" w:color="auto"/>
        <w:bottom w:val="none" w:sz="0" w:space="0" w:color="auto"/>
        <w:right w:val="none" w:sz="0" w:space="0" w:color="auto"/>
      </w:divBdr>
    </w:div>
    <w:div w:id="209924855">
      <w:bodyDiv w:val="1"/>
      <w:marLeft w:val="0"/>
      <w:marRight w:val="0"/>
      <w:marTop w:val="0"/>
      <w:marBottom w:val="0"/>
      <w:divBdr>
        <w:top w:val="none" w:sz="0" w:space="0" w:color="auto"/>
        <w:left w:val="none" w:sz="0" w:space="0" w:color="auto"/>
        <w:bottom w:val="none" w:sz="0" w:space="0" w:color="auto"/>
        <w:right w:val="none" w:sz="0" w:space="0" w:color="auto"/>
      </w:divBdr>
      <w:divsChild>
        <w:div w:id="585578013">
          <w:marLeft w:val="0"/>
          <w:marRight w:val="0"/>
          <w:marTop w:val="0"/>
          <w:marBottom w:val="0"/>
          <w:divBdr>
            <w:top w:val="none" w:sz="0" w:space="0" w:color="auto"/>
            <w:left w:val="none" w:sz="0" w:space="0" w:color="auto"/>
            <w:bottom w:val="none" w:sz="0" w:space="0" w:color="auto"/>
            <w:right w:val="none" w:sz="0" w:space="0" w:color="auto"/>
          </w:divBdr>
        </w:div>
      </w:divsChild>
    </w:div>
    <w:div w:id="216209299">
      <w:bodyDiv w:val="1"/>
      <w:marLeft w:val="0"/>
      <w:marRight w:val="0"/>
      <w:marTop w:val="0"/>
      <w:marBottom w:val="0"/>
      <w:divBdr>
        <w:top w:val="none" w:sz="0" w:space="0" w:color="auto"/>
        <w:left w:val="none" w:sz="0" w:space="0" w:color="auto"/>
        <w:bottom w:val="none" w:sz="0" w:space="0" w:color="auto"/>
        <w:right w:val="none" w:sz="0" w:space="0" w:color="auto"/>
      </w:divBdr>
    </w:div>
    <w:div w:id="274094929">
      <w:bodyDiv w:val="1"/>
      <w:marLeft w:val="0"/>
      <w:marRight w:val="0"/>
      <w:marTop w:val="0"/>
      <w:marBottom w:val="0"/>
      <w:divBdr>
        <w:top w:val="none" w:sz="0" w:space="0" w:color="auto"/>
        <w:left w:val="none" w:sz="0" w:space="0" w:color="auto"/>
        <w:bottom w:val="none" w:sz="0" w:space="0" w:color="auto"/>
        <w:right w:val="none" w:sz="0" w:space="0" w:color="auto"/>
      </w:divBdr>
    </w:div>
    <w:div w:id="313220043">
      <w:bodyDiv w:val="1"/>
      <w:marLeft w:val="0"/>
      <w:marRight w:val="0"/>
      <w:marTop w:val="0"/>
      <w:marBottom w:val="0"/>
      <w:divBdr>
        <w:top w:val="none" w:sz="0" w:space="0" w:color="auto"/>
        <w:left w:val="none" w:sz="0" w:space="0" w:color="auto"/>
        <w:bottom w:val="none" w:sz="0" w:space="0" w:color="auto"/>
        <w:right w:val="none" w:sz="0" w:space="0" w:color="auto"/>
      </w:divBdr>
    </w:div>
    <w:div w:id="344794392">
      <w:bodyDiv w:val="1"/>
      <w:marLeft w:val="0"/>
      <w:marRight w:val="0"/>
      <w:marTop w:val="0"/>
      <w:marBottom w:val="0"/>
      <w:divBdr>
        <w:top w:val="none" w:sz="0" w:space="0" w:color="auto"/>
        <w:left w:val="none" w:sz="0" w:space="0" w:color="auto"/>
        <w:bottom w:val="none" w:sz="0" w:space="0" w:color="auto"/>
        <w:right w:val="none" w:sz="0" w:space="0" w:color="auto"/>
      </w:divBdr>
    </w:div>
    <w:div w:id="349188636">
      <w:bodyDiv w:val="1"/>
      <w:marLeft w:val="0"/>
      <w:marRight w:val="0"/>
      <w:marTop w:val="0"/>
      <w:marBottom w:val="0"/>
      <w:divBdr>
        <w:top w:val="none" w:sz="0" w:space="0" w:color="auto"/>
        <w:left w:val="none" w:sz="0" w:space="0" w:color="auto"/>
        <w:bottom w:val="none" w:sz="0" w:space="0" w:color="auto"/>
        <w:right w:val="none" w:sz="0" w:space="0" w:color="auto"/>
      </w:divBdr>
    </w:div>
    <w:div w:id="408696556">
      <w:bodyDiv w:val="1"/>
      <w:marLeft w:val="0"/>
      <w:marRight w:val="0"/>
      <w:marTop w:val="0"/>
      <w:marBottom w:val="0"/>
      <w:divBdr>
        <w:top w:val="none" w:sz="0" w:space="0" w:color="auto"/>
        <w:left w:val="none" w:sz="0" w:space="0" w:color="auto"/>
        <w:bottom w:val="none" w:sz="0" w:space="0" w:color="auto"/>
        <w:right w:val="none" w:sz="0" w:space="0" w:color="auto"/>
      </w:divBdr>
    </w:div>
    <w:div w:id="497773265">
      <w:bodyDiv w:val="1"/>
      <w:marLeft w:val="0"/>
      <w:marRight w:val="0"/>
      <w:marTop w:val="0"/>
      <w:marBottom w:val="0"/>
      <w:divBdr>
        <w:top w:val="none" w:sz="0" w:space="0" w:color="auto"/>
        <w:left w:val="none" w:sz="0" w:space="0" w:color="auto"/>
        <w:bottom w:val="none" w:sz="0" w:space="0" w:color="auto"/>
        <w:right w:val="none" w:sz="0" w:space="0" w:color="auto"/>
      </w:divBdr>
    </w:div>
    <w:div w:id="512960688">
      <w:bodyDiv w:val="1"/>
      <w:marLeft w:val="0"/>
      <w:marRight w:val="0"/>
      <w:marTop w:val="0"/>
      <w:marBottom w:val="0"/>
      <w:divBdr>
        <w:top w:val="none" w:sz="0" w:space="0" w:color="auto"/>
        <w:left w:val="none" w:sz="0" w:space="0" w:color="auto"/>
        <w:bottom w:val="none" w:sz="0" w:space="0" w:color="auto"/>
        <w:right w:val="none" w:sz="0" w:space="0" w:color="auto"/>
      </w:divBdr>
    </w:div>
    <w:div w:id="594020850">
      <w:bodyDiv w:val="1"/>
      <w:marLeft w:val="0"/>
      <w:marRight w:val="0"/>
      <w:marTop w:val="0"/>
      <w:marBottom w:val="0"/>
      <w:divBdr>
        <w:top w:val="none" w:sz="0" w:space="0" w:color="auto"/>
        <w:left w:val="none" w:sz="0" w:space="0" w:color="auto"/>
        <w:bottom w:val="none" w:sz="0" w:space="0" w:color="auto"/>
        <w:right w:val="none" w:sz="0" w:space="0" w:color="auto"/>
      </w:divBdr>
    </w:div>
    <w:div w:id="616831715">
      <w:bodyDiv w:val="1"/>
      <w:marLeft w:val="0"/>
      <w:marRight w:val="0"/>
      <w:marTop w:val="0"/>
      <w:marBottom w:val="0"/>
      <w:divBdr>
        <w:top w:val="none" w:sz="0" w:space="0" w:color="auto"/>
        <w:left w:val="none" w:sz="0" w:space="0" w:color="auto"/>
        <w:bottom w:val="none" w:sz="0" w:space="0" w:color="auto"/>
        <w:right w:val="none" w:sz="0" w:space="0" w:color="auto"/>
      </w:divBdr>
    </w:div>
    <w:div w:id="621575433">
      <w:bodyDiv w:val="1"/>
      <w:marLeft w:val="0"/>
      <w:marRight w:val="0"/>
      <w:marTop w:val="0"/>
      <w:marBottom w:val="0"/>
      <w:divBdr>
        <w:top w:val="none" w:sz="0" w:space="0" w:color="auto"/>
        <w:left w:val="none" w:sz="0" w:space="0" w:color="auto"/>
        <w:bottom w:val="none" w:sz="0" w:space="0" w:color="auto"/>
        <w:right w:val="none" w:sz="0" w:space="0" w:color="auto"/>
      </w:divBdr>
    </w:div>
    <w:div w:id="641353766">
      <w:bodyDiv w:val="1"/>
      <w:marLeft w:val="0"/>
      <w:marRight w:val="0"/>
      <w:marTop w:val="0"/>
      <w:marBottom w:val="0"/>
      <w:divBdr>
        <w:top w:val="none" w:sz="0" w:space="0" w:color="auto"/>
        <w:left w:val="none" w:sz="0" w:space="0" w:color="auto"/>
        <w:bottom w:val="none" w:sz="0" w:space="0" w:color="auto"/>
        <w:right w:val="none" w:sz="0" w:space="0" w:color="auto"/>
      </w:divBdr>
    </w:div>
    <w:div w:id="734159361">
      <w:bodyDiv w:val="1"/>
      <w:marLeft w:val="0"/>
      <w:marRight w:val="0"/>
      <w:marTop w:val="0"/>
      <w:marBottom w:val="0"/>
      <w:divBdr>
        <w:top w:val="none" w:sz="0" w:space="0" w:color="auto"/>
        <w:left w:val="none" w:sz="0" w:space="0" w:color="auto"/>
        <w:bottom w:val="none" w:sz="0" w:space="0" w:color="auto"/>
        <w:right w:val="none" w:sz="0" w:space="0" w:color="auto"/>
      </w:divBdr>
    </w:div>
    <w:div w:id="758408345">
      <w:bodyDiv w:val="1"/>
      <w:marLeft w:val="0"/>
      <w:marRight w:val="0"/>
      <w:marTop w:val="0"/>
      <w:marBottom w:val="0"/>
      <w:divBdr>
        <w:top w:val="none" w:sz="0" w:space="0" w:color="auto"/>
        <w:left w:val="none" w:sz="0" w:space="0" w:color="auto"/>
        <w:bottom w:val="none" w:sz="0" w:space="0" w:color="auto"/>
        <w:right w:val="none" w:sz="0" w:space="0" w:color="auto"/>
      </w:divBdr>
    </w:div>
    <w:div w:id="873465091">
      <w:bodyDiv w:val="1"/>
      <w:marLeft w:val="0"/>
      <w:marRight w:val="0"/>
      <w:marTop w:val="0"/>
      <w:marBottom w:val="0"/>
      <w:divBdr>
        <w:top w:val="none" w:sz="0" w:space="0" w:color="auto"/>
        <w:left w:val="none" w:sz="0" w:space="0" w:color="auto"/>
        <w:bottom w:val="none" w:sz="0" w:space="0" w:color="auto"/>
        <w:right w:val="none" w:sz="0" w:space="0" w:color="auto"/>
      </w:divBdr>
    </w:div>
    <w:div w:id="915093713">
      <w:bodyDiv w:val="1"/>
      <w:marLeft w:val="0"/>
      <w:marRight w:val="0"/>
      <w:marTop w:val="0"/>
      <w:marBottom w:val="0"/>
      <w:divBdr>
        <w:top w:val="none" w:sz="0" w:space="0" w:color="auto"/>
        <w:left w:val="none" w:sz="0" w:space="0" w:color="auto"/>
        <w:bottom w:val="none" w:sz="0" w:space="0" w:color="auto"/>
        <w:right w:val="none" w:sz="0" w:space="0" w:color="auto"/>
      </w:divBdr>
    </w:div>
    <w:div w:id="927732610">
      <w:bodyDiv w:val="1"/>
      <w:marLeft w:val="0"/>
      <w:marRight w:val="0"/>
      <w:marTop w:val="0"/>
      <w:marBottom w:val="0"/>
      <w:divBdr>
        <w:top w:val="none" w:sz="0" w:space="0" w:color="auto"/>
        <w:left w:val="none" w:sz="0" w:space="0" w:color="auto"/>
        <w:bottom w:val="none" w:sz="0" w:space="0" w:color="auto"/>
        <w:right w:val="none" w:sz="0" w:space="0" w:color="auto"/>
      </w:divBdr>
    </w:div>
    <w:div w:id="929434990">
      <w:bodyDiv w:val="1"/>
      <w:marLeft w:val="0"/>
      <w:marRight w:val="0"/>
      <w:marTop w:val="0"/>
      <w:marBottom w:val="0"/>
      <w:divBdr>
        <w:top w:val="none" w:sz="0" w:space="0" w:color="auto"/>
        <w:left w:val="none" w:sz="0" w:space="0" w:color="auto"/>
        <w:bottom w:val="none" w:sz="0" w:space="0" w:color="auto"/>
        <w:right w:val="none" w:sz="0" w:space="0" w:color="auto"/>
      </w:divBdr>
    </w:div>
    <w:div w:id="950087125">
      <w:bodyDiv w:val="1"/>
      <w:marLeft w:val="0"/>
      <w:marRight w:val="0"/>
      <w:marTop w:val="0"/>
      <w:marBottom w:val="0"/>
      <w:divBdr>
        <w:top w:val="none" w:sz="0" w:space="0" w:color="auto"/>
        <w:left w:val="none" w:sz="0" w:space="0" w:color="auto"/>
        <w:bottom w:val="none" w:sz="0" w:space="0" w:color="auto"/>
        <w:right w:val="none" w:sz="0" w:space="0" w:color="auto"/>
      </w:divBdr>
    </w:div>
    <w:div w:id="954866493">
      <w:bodyDiv w:val="1"/>
      <w:marLeft w:val="0"/>
      <w:marRight w:val="0"/>
      <w:marTop w:val="0"/>
      <w:marBottom w:val="0"/>
      <w:divBdr>
        <w:top w:val="none" w:sz="0" w:space="0" w:color="auto"/>
        <w:left w:val="none" w:sz="0" w:space="0" w:color="auto"/>
        <w:bottom w:val="none" w:sz="0" w:space="0" w:color="auto"/>
        <w:right w:val="none" w:sz="0" w:space="0" w:color="auto"/>
      </w:divBdr>
    </w:div>
    <w:div w:id="1128822254">
      <w:bodyDiv w:val="1"/>
      <w:marLeft w:val="0"/>
      <w:marRight w:val="0"/>
      <w:marTop w:val="0"/>
      <w:marBottom w:val="0"/>
      <w:divBdr>
        <w:top w:val="none" w:sz="0" w:space="0" w:color="auto"/>
        <w:left w:val="none" w:sz="0" w:space="0" w:color="auto"/>
        <w:bottom w:val="none" w:sz="0" w:space="0" w:color="auto"/>
        <w:right w:val="none" w:sz="0" w:space="0" w:color="auto"/>
      </w:divBdr>
    </w:div>
    <w:div w:id="1172141915">
      <w:bodyDiv w:val="1"/>
      <w:marLeft w:val="0"/>
      <w:marRight w:val="0"/>
      <w:marTop w:val="0"/>
      <w:marBottom w:val="0"/>
      <w:divBdr>
        <w:top w:val="none" w:sz="0" w:space="0" w:color="auto"/>
        <w:left w:val="none" w:sz="0" w:space="0" w:color="auto"/>
        <w:bottom w:val="none" w:sz="0" w:space="0" w:color="auto"/>
        <w:right w:val="none" w:sz="0" w:space="0" w:color="auto"/>
      </w:divBdr>
    </w:div>
    <w:div w:id="1369452075">
      <w:bodyDiv w:val="1"/>
      <w:marLeft w:val="0"/>
      <w:marRight w:val="0"/>
      <w:marTop w:val="0"/>
      <w:marBottom w:val="0"/>
      <w:divBdr>
        <w:top w:val="none" w:sz="0" w:space="0" w:color="auto"/>
        <w:left w:val="none" w:sz="0" w:space="0" w:color="auto"/>
        <w:bottom w:val="none" w:sz="0" w:space="0" w:color="auto"/>
        <w:right w:val="none" w:sz="0" w:space="0" w:color="auto"/>
      </w:divBdr>
    </w:div>
    <w:div w:id="1402827410">
      <w:bodyDiv w:val="1"/>
      <w:marLeft w:val="0"/>
      <w:marRight w:val="0"/>
      <w:marTop w:val="0"/>
      <w:marBottom w:val="0"/>
      <w:divBdr>
        <w:top w:val="none" w:sz="0" w:space="0" w:color="auto"/>
        <w:left w:val="none" w:sz="0" w:space="0" w:color="auto"/>
        <w:bottom w:val="none" w:sz="0" w:space="0" w:color="auto"/>
        <w:right w:val="none" w:sz="0" w:space="0" w:color="auto"/>
      </w:divBdr>
    </w:div>
    <w:div w:id="1453327380">
      <w:bodyDiv w:val="1"/>
      <w:marLeft w:val="0"/>
      <w:marRight w:val="0"/>
      <w:marTop w:val="0"/>
      <w:marBottom w:val="0"/>
      <w:divBdr>
        <w:top w:val="none" w:sz="0" w:space="0" w:color="auto"/>
        <w:left w:val="none" w:sz="0" w:space="0" w:color="auto"/>
        <w:bottom w:val="none" w:sz="0" w:space="0" w:color="auto"/>
        <w:right w:val="none" w:sz="0" w:space="0" w:color="auto"/>
      </w:divBdr>
    </w:div>
    <w:div w:id="1453354757">
      <w:bodyDiv w:val="1"/>
      <w:marLeft w:val="0"/>
      <w:marRight w:val="0"/>
      <w:marTop w:val="0"/>
      <w:marBottom w:val="0"/>
      <w:divBdr>
        <w:top w:val="none" w:sz="0" w:space="0" w:color="auto"/>
        <w:left w:val="none" w:sz="0" w:space="0" w:color="auto"/>
        <w:bottom w:val="none" w:sz="0" w:space="0" w:color="auto"/>
        <w:right w:val="none" w:sz="0" w:space="0" w:color="auto"/>
      </w:divBdr>
    </w:div>
    <w:div w:id="1540970378">
      <w:bodyDiv w:val="1"/>
      <w:marLeft w:val="0"/>
      <w:marRight w:val="0"/>
      <w:marTop w:val="0"/>
      <w:marBottom w:val="0"/>
      <w:divBdr>
        <w:top w:val="none" w:sz="0" w:space="0" w:color="auto"/>
        <w:left w:val="none" w:sz="0" w:space="0" w:color="auto"/>
        <w:bottom w:val="none" w:sz="0" w:space="0" w:color="auto"/>
        <w:right w:val="none" w:sz="0" w:space="0" w:color="auto"/>
      </w:divBdr>
    </w:div>
    <w:div w:id="1633055254">
      <w:bodyDiv w:val="1"/>
      <w:marLeft w:val="0"/>
      <w:marRight w:val="0"/>
      <w:marTop w:val="0"/>
      <w:marBottom w:val="0"/>
      <w:divBdr>
        <w:top w:val="none" w:sz="0" w:space="0" w:color="auto"/>
        <w:left w:val="none" w:sz="0" w:space="0" w:color="auto"/>
        <w:bottom w:val="none" w:sz="0" w:space="0" w:color="auto"/>
        <w:right w:val="none" w:sz="0" w:space="0" w:color="auto"/>
      </w:divBdr>
    </w:div>
    <w:div w:id="1746953886">
      <w:bodyDiv w:val="1"/>
      <w:marLeft w:val="0"/>
      <w:marRight w:val="0"/>
      <w:marTop w:val="0"/>
      <w:marBottom w:val="0"/>
      <w:divBdr>
        <w:top w:val="none" w:sz="0" w:space="0" w:color="auto"/>
        <w:left w:val="none" w:sz="0" w:space="0" w:color="auto"/>
        <w:bottom w:val="none" w:sz="0" w:space="0" w:color="auto"/>
        <w:right w:val="none" w:sz="0" w:space="0" w:color="auto"/>
      </w:divBdr>
    </w:div>
    <w:div w:id="1792476313">
      <w:bodyDiv w:val="1"/>
      <w:marLeft w:val="0"/>
      <w:marRight w:val="0"/>
      <w:marTop w:val="0"/>
      <w:marBottom w:val="0"/>
      <w:divBdr>
        <w:top w:val="none" w:sz="0" w:space="0" w:color="auto"/>
        <w:left w:val="none" w:sz="0" w:space="0" w:color="auto"/>
        <w:bottom w:val="none" w:sz="0" w:space="0" w:color="auto"/>
        <w:right w:val="none" w:sz="0" w:space="0" w:color="auto"/>
      </w:divBdr>
    </w:div>
    <w:div w:id="1819299666">
      <w:bodyDiv w:val="1"/>
      <w:marLeft w:val="0"/>
      <w:marRight w:val="0"/>
      <w:marTop w:val="0"/>
      <w:marBottom w:val="0"/>
      <w:divBdr>
        <w:top w:val="none" w:sz="0" w:space="0" w:color="auto"/>
        <w:left w:val="none" w:sz="0" w:space="0" w:color="auto"/>
        <w:bottom w:val="none" w:sz="0" w:space="0" w:color="auto"/>
        <w:right w:val="none" w:sz="0" w:space="0" w:color="auto"/>
      </w:divBdr>
    </w:div>
    <w:div w:id="1839614235">
      <w:bodyDiv w:val="1"/>
      <w:marLeft w:val="0"/>
      <w:marRight w:val="0"/>
      <w:marTop w:val="0"/>
      <w:marBottom w:val="0"/>
      <w:divBdr>
        <w:top w:val="none" w:sz="0" w:space="0" w:color="auto"/>
        <w:left w:val="none" w:sz="0" w:space="0" w:color="auto"/>
        <w:bottom w:val="none" w:sz="0" w:space="0" w:color="auto"/>
        <w:right w:val="none" w:sz="0" w:space="0" w:color="auto"/>
      </w:divBdr>
    </w:div>
    <w:div w:id="1878083855">
      <w:bodyDiv w:val="1"/>
      <w:marLeft w:val="0"/>
      <w:marRight w:val="0"/>
      <w:marTop w:val="0"/>
      <w:marBottom w:val="0"/>
      <w:divBdr>
        <w:top w:val="none" w:sz="0" w:space="0" w:color="auto"/>
        <w:left w:val="none" w:sz="0" w:space="0" w:color="auto"/>
        <w:bottom w:val="none" w:sz="0" w:space="0" w:color="auto"/>
        <w:right w:val="none" w:sz="0" w:space="0" w:color="auto"/>
      </w:divBdr>
    </w:div>
    <w:div w:id="1935279446">
      <w:bodyDiv w:val="1"/>
      <w:marLeft w:val="0"/>
      <w:marRight w:val="0"/>
      <w:marTop w:val="0"/>
      <w:marBottom w:val="0"/>
      <w:divBdr>
        <w:top w:val="none" w:sz="0" w:space="0" w:color="auto"/>
        <w:left w:val="none" w:sz="0" w:space="0" w:color="auto"/>
        <w:bottom w:val="none" w:sz="0" w:space="0" w:color="auto"/>
        <w:right w:val="none" w:sz="0" w:space="0" w:color="auto"/>
      </w:divBdr>
    </w:div>
    <w:div w:id="1935505227">
      <w:bodyDiv w:val="1"/>
      <w:marLeft w:val="0"/>
      <w:marRight w:val="0"/>
      <w:marTop w:val="0"/>
      <w:marBottom w:val="0"/>
      <w:divBdr>
        <w:top w:val="none" w:sz="0" w:space="0" w:color="auto"/>
        <w:left w:val="none" w:sz="0" w:space="0" w:color="auto"/>
        <w:bottom w:val="none" w:sz="0" w:space="0" w:color="auto"/>
        <w:right w:val="none" w:sz="0" w:space="0" w:color="auto"/>
      </w:divBdr>
    </w:div>
    <w:div w:id="1953201785">
      <w:bodyDiv w:val="1"/>
      <w:marLeft w:val="0"/>
      <w:marRight w:val="0"/>
      <w:marTop w:val="0"/>
      <w:marBottom w:val="0"/>
      <w:divBdr>
        <w:top w:val="none" w:sz="0" w:space="0" w:color="auto"/>
        <w:left w:val="none" w:sz="0" w:space="0" w:color="auto"/>
        <w:bottom w:val="none" w:sz="0" w:space="0" w:color="auto"/>
        <w:right w:val="none" w:sz="0" w:space="0" w:color="auto"/>
      </w:divBdr>
    </w:div>
    <w:div w:id="2020933868">
      <w:bodyDiv w:val="1"/>
      <w:marLeft w:val="0"/>
      <w:marRight w:val="0"/>
      <w:marTop w:val="0"/>
      <w:marBottom w:val="0"/>
      <w:divBdr>
        <w:top w:val="none" w:sz="0" w:space="0" w:color="auto"/>
        <w:left w:val="none" w:sz="0" w:space="0" w:color="auto"/>
        <w:bottom w:val="none" w:sz="0" w:space="0" w:color="auto"/>
        <w:right w:val="none" w:sz="0" w:space="0" w:color="auto"/>
      </w:divBdr>
    </w:div>
    <w:div w:id="2070490118">
      <w:bodyDiv w:val="1"/>
      <w:marLeft w:val="0"/>
      <w:marRight w:val="0"/>
      <w:marTop w:val="0"/>
      <w:marBottom w:val="0"/>
      <w:divBdr>
        <w:top w:val="none" w:sz="0" w:space="0" w:color="auto"/>
        <w:left w:val="none" w:sz="0" w:space="0" w:color="auto"/>
        <w:bottom w:val="none" w:sz="0" w:space="0" w:color="auto"/>
        <w:right w:val="none" w:sz="0" w:space="0" w:color="auto"/>
      </w:divBdr>
    </w:div>
    <w:div w:id="2080059368">
      <w:bodyDiv w:val="1"/>
      <w:marLeft w:val="0"/>
      <w:marRight w:val="0"/>
      <w:marTop w:val="0"/>
      <w:marBottom w:val="0"/>
      <w:divBdr>
        <w:top w:val="none" w:sz="0" w:space="0" w:color="auto"/>
        <w:left w:val="none" w:sz="0" w:space="0" w:color="auto"/>
        <w:bottom w:val="none" w:sz="0" w:space="0" w:color="auto"/>
        <w:right w:val="none" w:sz="0" w:space="0" w:color="auto"/>
      </w:divBdr>
    </w:div>
    <w:div w:id="2093970009">
      <w:bodyDiv w:val="1"/>
      <w:marLeft w:val="0"/>
      <w:marRight w:val="0"/>
      <w:marTop w:val="0"/>
      <w:marBottom w:val="0"/>
      <w:divBdr>
        <w:top w:val="none" w:sz="0" w:space="0" w:color="auto"/>
        <w:left w:val="none" w:sz="0" w:space="0" w:color="auto"/>
        <w:bottom w:val="none" w:sz="0" w:space="0" w:color="auto"/>
        <w:right w:val="none" w:sz="0" w:space="0" w:color="auto"/>
      </w:divBdr>
    </w:div>
    <w:div w:id="2108914942">
      <w:bodyDiv w:val="1"/>
      <w:marLeft w:val="0"/>
      <w:marRight w:val="0"/>
      <w:marTop w:val="0"/>
      <w:marBottom w:val="0"/>
      <w:divBdr>
        <w:top w:val="none" w:sz="0" w:space="0" w:color="auto"/>
        <w:left w:val="none" w:sz="0" w:space="0" w:color="auto"/>
        <w:bottom w:val="none" w:sz="0" w:space="0" w:color="auto"/>
        <w:right w:val="none" w:sz="0" w:space="0" w:color="auto"/>
      </w:divBdr>
    </w:div>
    <w:div w:id="2109931734">
      <w:bodyDiv w:val="1"/>
      <w:marLeft w:val="0"/>
      <w:marRight w:val="0"/>
      <w:marTop w:val="0"/>
      <w:marBottom w:val="0"/>
      <w:divBdr>
        <w:top w:val="none" w:sz="0" w:space="0" w:color="auto"/>
        <w:left w:val="none" w:sz="0" w:space="0" w:color="auto"/>
        <w:bottom w:val="none" w:sz="0" w:space="0" w:color="auto"/>
        <w:right w:val="none" w:sz="0" w:space="0" w:color="auto"/>
      </w:divBdr>
      <w:divsChild>
        <w:div w:id="1929607923">
          <w:marLeft w:val="0"/>
          <w:marRight w:val="0"/>
          <w:marTop w:val="0"/>
          <w:marBottom w:val="0"/>
          <w:divBdr>
            <w:top w:val="none" w:sz="0" w:space="0" w:color="auto"/>
            <w:left w:val="none" w:sz="0" w:space="0" w:color="auto"/>
            <w:bottom w:val="none" w:sz="0" w:space="0" w:color="auto"/>
            <w:right w:val="none" w:sz="0" w:space="0" w:color="auto"/>
          </w:divBdr>
        </w:div>
        <w:div w:id="1671519921">
          <w:marLeft w:val="0"/>
          <w:marRight w:val="0"/>
          <w:marTop w:val="0"/>
          <w:marBottom w:val="0"/>
          <w:divBdr>
            <w:top w:val="none" w:sz="0" w:space="0" w:color="auto"/>
            <w:left w:val="none" w:sz="0" w:space="0" w:color="auto"/>
            <w:bottom w:val="none" w:sz="0" w:space="0" w:color="auto"/>
            <w:right w:val="none" w:sz="0" w:space="0" w:color="auto"/>
          </w:divBdr>
        </w:div>
        <w:div w:id="1176111882">
          <w:marLeft w:val="0"/>
          <w:marRight w:val="0"/>
          <w:marTop w:val="0"/>
          <w:marBottom w:val="0"/>
          <w:divBdr>
            <w:top w:val="none" w:sz="0" w:space="0" w:color="auto"/>
            <w:left w:val="none" w:sz="0" w:space="0" w:color="auto"/>
            <w:bottom w:val="none" w:sz="0" w:space="0" w:color="auto"/>
            <w:right w:val="none" w:sz="0" w:space="0" w:color="auto"/>
          </w:divBdr>
        </w:div>
      </w:divsChild>
    </w:div>
    <w:div w:id="2113669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848774-3443-D84E-8999-07B317EA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9976</Words>
  <Characters>56869</Characters>
  <Application>Microsoft Macintosh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2016-12-07T14:41:00Z</dcterms:created>
  <dcterms:modified xsi:type="dcterms:W3CDTF">2016-12-07T14:41:00Z</dcterms:modified>
</cp:coreProperties>
</file>