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E50A7" w14:textId="77777777" w:rsidR="00A45EA4" w:rsidRDefault="00C22C20" w:rsidP="004A7B92">
      <w:pPr>
        <w:pStyle w:val="NoSpacing"/>
        <w:rPr>
          <w:rFonts w:ascii="Arabic Typesetting" w:hAnsi="Arabic Typesetting" w:cs="Arabic Typesetting"/>
          <w:sz w:val="28"/>
          <w:szCs w:val="28"/>
          <w:lang w:val="en-US"/>
        </w:rPr>
      </w:pPr>
      <w:bookmarkStart w:id="0" w:name="_GoBack"/>
      <w:bookmarkEnd w:id="0"/>
      <w:r w:rsidRPr="00DE5D6A">
        <w:rPr>
          <w:rFonts w:ascii="Arabic Typesetting" w:hAnsi="Arabic Typesetting" w:cs="Arabic Typesetting"/>
          <w:sz w:val="28"/>
          <w:szCs w:val="28"/>
          <w:lang w:val="en-US"/>
        </w:rPr>
        <w:t>M</w:t>
      </w:r>
      <w:r w:rsidR="004A7B92" w:rsidRPr="00DE5D6A">
        <w:rPr>
          <w:rFonts w:ascii="Arabic Typesetting" w:hAnsi="Arabic Typesetting" w:cs="Arabic Typesetting"/>
          <w:sz w:val="28"/>
          <w:szCs w:val="28"/>
          <w:lang w:val="en-US"/>
        </w:rPr>
        <w:t>outhwork</w:t>
      </w:r>
    </w:p>
    <w:p w14:paraId="6EE8CF76" w14:textId="77777777" w:rsidR="0070157D" w:rsidRPr="00DE5D6A" w:rsidRDefault="0070157D" w:rsidP="004A7B92">
      <w:pPr>
        <w:pStyle w:val="NoSpacing"/>
        <w:rPr>
          <w:rFonts w:ascii="Arabic Typesetting" w:hAnsi="Arabic Typesetting" w:cs="Arabic Typesetting"/>
          <w:sz w:val="28"/>
          <w:szCs w:val="28"/>
          <w:lang w:val="en-US"/>
        </w:rPr>
      </w:pPr>
      <w:r>
        <w:rPr>
          <w:rFonts w:ascii="Arabic Typesetting" w:hAnsi="Arabic Typesetting" w:cs="Arabic Typesetting"/>
          <w:sz w:val="28"/>
          <w:szCs w:val="28"/>
          <w:lang w:val="en-US"/>
        </w:rPr>
        <w:t>Ewa Macura-Nnamdi</w:t>
      </w:r>
    </w:p>
    <w:p w14:paraId="746BE16E" w14:textId="77777777" w:rsidR="00C22C20" w:rsidRPr="00DE5D6A" w:rsidRDefault="00C22C20" w:rsidP="004A7B92">
      <w:pPr>
        <w:pStyle w:val="NoSpacing"/>
        <w:rPr>
          <w:rFonts w:ascii="Arabic Typesetting" w:hAnsi="Arabic Typesetting" w:cs="Arabic Typesetting"/>
          <w:sz w:val="28"/>
          <w:szCs w:val="28"/>
          <w:lang w:val="en-US"/>
        </w:rPr>
      </w:pPr>
    </w:p>
    <w:p w14:paraId="69B42F6C" w14:textId="77777777" w:rsidR="00C22C20" w:rsidRDefault="00C22C20" w:rsidP="004A7B92">
      <w:pPr>
        <w:pStyle w:val="NoSpacing"/>
        <w:rPr>
          <w:rFonts w:ascii="Arabic Typesetting" w:hAnsi="Arabic Typesetting" w:cs="Arabic Typesetting"/>
          <w:sz w:val="28"/>
          <w:szCs w:val="28"/>
          <w:lang w:val="en-US"/>
        </w:rPr>
      </w:pPr>
      <w:r w:rsidRPr="00877B4E">
        <w:rPr>
          <w:rFonts w:ascii="Arabic Typesetting" w:hAnsi="Arabic Typesetting" w:cs="Arabic Typesetting"/>
          <w:sz w:val="28"/>
          <w:szCs w:val="28"/>
          <w:lang w:val="en-US"/>
        </w:rPr>
        <w:t>Following the external reviewer’s suggestion</w:t>
      </w:r>
      <w:r w:rsidR="003649CB">
        <w:rPr>
          <w:rFonts w:ascii="Arabic Typesetting" w:hAnsi="Arabic Typesetting" w:cs="Arabic Typesetting"/>
          <w:sz w:val="28"/>
          <w:szCs w:val="28"/>
          <w:lang w:val="en-US"/>
        </w:rPr>
        <w:t xml:space="preserve"> </w:t>
      </w:r>
      <w:r w:rsidR="00C77238">
        <w:rPr>
          <w:rFonts w:ascii="Arabic Typesetting" w:hAnsi="Arabic Typesetting" w:cs="Arabic Typesetting"/>
          <w:sz w:val="28"/>
          <w:szCs w:val="28"/>
          <w:lang w:val="en-US"/>
        </w:rPr>
        <w:t>(and also the guest editors’)</w:t>
      </w:r>
      <w:r w:rsidRPr="00877B4E">
        <w:rPr>
          <w:rFonts w:ascii="Arabic Typesetting" w:hAnsi="Arabic Typesetting" w:cs="Arabic Typesetting"/>
          <w:sz w:val="28"/>
          <w:szCs w:val="28"/>
          <w:lang w:val="en-US"/>
        </w:rPr>
        <w:t xml:space="preserve">, I reworked </w:t>
      </w:r>
      <w:r w:rsidR="00877B4E">
        <w:rPr>
          <w:rFonts w:ascii="Arabic Typesetting" w:hAnsi="Arabic Typesetting" w:cs="Arabic Typesetting"/>
          <w:sz w:val="28"/>
          <w:szCs w:val="28"/>
          <w:lang w:val="en-US"/>
        </w:rPr>
        <w:t xml:space="preserve">the beginning of the essay and: 1. Began by introducing the novel as a text explicitly preoccupied with economy, especially with work and consumption; 2. </w:t>
      </w:r>
      <w:r w:rsidR="00695541">
        <w:rPr>
          <w:rFonts w:ascii="Arabic Typesetting" w:hAnsi="Arabic Typesetting" w:cs="Arabic Typesetting"/>
          <w:sz w:val="28"/>
          <w:szCs w:val="28"/>
          <w:lang w:val="en-US"/>
        </w:rPr>
        <w:t xml:space="preserve">I explained the </w:t>
      </w:r>
      <w:r w:rsidR="0001428B">
        <w:rPr>
          <w:rFonts w:ascii="Arabic Typesetting" w:hAnsi="Arabic Typesetting" w:cs="Arabic Typesetting"/>
          <w:sz w:val="28"/>
          <w:szCs w:val="28"/>
          <w:lang w:val="en-US"/>
        </w:rPr>
        <w:t xml:space="preserve">textual significance of consumption and the ways it figures in the text, also drawing attention to how it literally ushers </w:t>
      </w:r>
      <w:r w:rsidR="00D44655">
        <w:rPr>
          <w:rFonts w:ascii="Arabic Typesetting" w:hAnsi="Arabic Typesetting" w:cs="Arabic Typesetting"/>
          <w:sz w:val="28"/>
          <w:szCs w:val="28"/>
          <w:lang w:val="en-US"/>
        </w:rPr>
        <w:t xml:space="preserve">the narrator into the bush, inaugurating his bizarre adventures there; 3. </w:t>
      </w:r>
      <w:r w:rsidR="00C77238">
        <w:rPr>
          <w:rFonts w:ascii="Arabic Typesetting" w:hAnsi="Arabic Typesetting" w:cs="Arabic Typesetting"/>
          <w:sz w:val="28"/>
          <w:szCs w:val="28"/>
          <w:lang w:val="en-US"/>
        </w:rPr>
        <w:t>I provided quite a few examples from the novel in order to provide the reader with “a point of entry” and let them see the uniquely economic feel of the narrative</w:t>
      </w:r>
      <w:r w:rsidR="00F614CC">
        <w:rPr>
          <w:rFonts w:ascii="Arabic Typesetting" w:hAnsi="Arabic Typesetting" w:cs="Arabic Typesetting"/>
          <w:sz w:val="28"/>
          <w:szCs w:val="28"/>
          <w:lang w:val="en-US"/>
        </w:rPr>
        <w:t>.</w:t>
      </w:r>
    </w:p>
    <w:p w14:paraId="408C22D1" w14:textId="77777777" w:rsidR="00F614CC" w:rsidRDefault="00F614CC" w:rsidP="004A7B92">
      <w:pPr>
        <w:pStyle w:val="NoSpacing"/>
        <w:rPr>
          <w:rFonts w:ascii="Arabic Typesetting" w:hAnsi="Arabic Typesetting" w:cs="Arabic Typesetting"/>
          <w:sz w:val="28"/>
          <w:szCs w:val="28"/>
          <w:lang w:val="en-US"/>
        </w:rPr>
      </w:pPr>
    </w:p>
    <w:p w14:paraId="5B208AEF" w14:textId="77777777" w:rsidR="000153A0" w:rsidRDefault="00F614CC" w:rsidP="004A7B92">
      <w:pPr>
        <w:pStyle w:val="NoSpacing"/>
        <w:rPr>
          <w:rFonts w:ascii="Arabic Typesetting" w:hAnsi="Arabic Typesetting" w:cs="Arabic Typesetting"/>
          <w:sz w:val="28"/>
          <w:szCs w:val="28"/>
          <w:lang w:val="en-US"/>
        </w:rPr>
      </w:pPr>
      <w:r>
        <w:rPr>
          <w:rFonts w:ascii="Arabic Typesetting" w:hAnsi="Arabic Typesetting" w:cs="Arabic Typesetting"/>
          <w:sz w:val="28"/>
          <w:szCs w:val="28"/>
          <w:lang w:val="en-US"/>
        </w:rPr>
        <w:t>As suggested by the external reviewer, I added Tutuola’s voice to section</w:t>
      </w:r>
      <w:r w:rsidR="00DE5D6A">
        <w:rPr>
          <w:rFonts w:ascii="Arabic Typesetting" w:hAnsi="Arabic Typesetting" w:cs="Arabic Typesetting"/>
          <w:sz w:val="28"/>
          <w:szCs w:val="28"/>
          <w:lang w:val="en-US"/>
        </w:rPr>
        <w:t>s</w:t>
      </w:r>
      <w:r>
        <w:rPr>
          <w:rFonts w:ascii="Arabic Typesetting" w:hAnsi="Arabic Typesetting" w:cs="Arabic Typesetting"/>
          <w:sz w:val="28"/>
          <w:szCs w:val="28"/>
          <w:lang w:val="en-US"/>
        </w:rPr>
        <w:t xml:space="preserve"> I</w:t>
      </w:r>
      <w:r w:rsidR="00DE5D6A">
        <w:rPr>
          <w:rFonts w:ascii="Arabic Typesetting" w:hAnsi="Arabic Typesetting" w:cs="Arabic Typesetting"/>
          <w:sz w:val="28"/>
          <w:szCs w:val="28"/>
          <w:lang w:val="en-US"/>
        </w:rPr>
        <w:t xml:space="preserve"> and II</w:t>
      </w:r>
      <w:r>
        <w:rPr>
          <w:rFonts w:ascii="Arabic Typesetting" w:hAnsi="Arabic Typesetting" w:cs="Arabic Typesetting"/>
          <w:sz w:val="28"/>
          <w:szCs w:val="28"/>
          <w:lang w:val="en-US"/>
        </w:rPr>
        <w:t xml:space="preserve">. </w:t>
      </w:r>
      <w:r w:rsidR="00DE5D6A">
        <w:rPr>
          <w:rFonts w:ascii="Arabic Typesetting" w:hAnsi="Arabic Typesetting" w:cs="Arabic Typesetting"/>
          <w:sz w:val="28"/>
          <w:szCs w:val="28"/>
          <w:lang w:val="en-US"/>
        </w:rPr>
        <w:t>They now begin</w:t>
      </w:r>
      <w:r w:rsidR="00326E25">
        <w:rPr>
          <w:rFonts w:ascii="Arabic Typesetting" w:hAnsi="Arabic Typesetting" w:cs="Arabic Typesetting"/>
          <w:sz w:val="28"/>
          <w:szCs w:val="28"/>
          <w:lang w:val="en-US"/>
        </w:rPr>
        <w:t xml:space="preserve"> with</w:t>
      </w:r>
      <w:r w:rsidR="00107876">
        <w:rPr>
          <w:rFonts w:ascii="Arabic Typesetting" w:hAnsi="Arabic Typesetting" w:cs="Arabic Typesetting"/>
          <w:sz w:val="28"/>
          <w:szCs w:val="28"/>
          <w:lang w:val="en-US"/>
        </w:rPr>
        <w:t xml:space="preserve"> </w:t>
      </w:r>
      <w:r w:rsidR="001937A9">
        <w:rPr>
          <w:rFonts w:ascii="Arabic Typesetting" w:hAnsi="Arabic Typesetting" w:cs="Arabic Typesetting"/>
          <w:sz w:val="28"/>
          <w:szCs w:val="28"/>
          <w:lang w:val="en-US"/>
        </w:rPr>
        <w:t>a reading of selecte</w:t>
      </w:r>
      <w:r w:rsidR="0057039C">
        <w:rPr>
          <w:rFonts w:ascii="Arabic Typesetting" w:hAnsi="Arabic Typesetting" w:cs="Arabic Typesetting"/>
          <w:sz w:val="28"/>
          <w:szCs w:val="28"/>
          <w:lang w:val="en-US"/>
        </w:rPr>
        <w:t>d</w:t>
      </w:r>
      <w:r w:rsidR="00E659F8">
        <w:rPr>
          <w:rFonts w:ascii="Arabic Typesetting" w:hAnsi="Arabic Typesetting" w:cs="Arabic Typesetting"/>
          <w:sz w:val="28"/>
          <w:szCs w:val="28"/>
          <w:lang w:val="en-US"/>
        </w:rPr>
        <w:t xml:space="preserve"> passages from the novel, </w:t>
      </w:r>
      <w:r w:rsidR="0057039C">
        <w:rPr>
          <w:rFonts w:ascii="Arabic Typesetting" w:hAnsi="Arabic Typesetting" w:cs="Arabic Typesetting"/>
          <w:sz w:val="28"/>
          <w:szCs w:val="28"/>
          <w:lang w:val="en-US"/>
        </w:rPr>
        <w:t>each of which illustrates the theoretical points being made</w:t>
      </w:r>
      <w:r w:rsidR="00ED5BB7">
        <w:rPr>
          <w:rFonts w:ascii="Arabic Typesetting" w:hAnsi="Arabic Typesetting" w:cs="Arabic Typesetting"/>
          <w:sz w:val="28"/>
          <w:szCs w:val="28"/>
          <w:lang w:val="en-US"/>
        </w:rPr>
        <w:t xml:space="preserve"> in the sections</w:t>
      </w:r>
      <w:r w:rsidR="00FB05FE">
        <w:rPr>
          <w:rFonts w:ascii="Arabic Typesetting" w:hAnsi="Arabic Typesetting" w:cs="Arabic Typesetting"/>
          <w:sz w:val="28"/>
          <w:szCs w:val="28"/>
          <w:lang w:val="en-US"/>
        </w:rPr>
        <w:t xml:space="preserve">. Section I opens with a short reading of the </w:t>
      </w:r>
      <w:r w:rsidR="00A90032">
        <w:rPr>
          <w:rFonts w:ascii="Arabic Typesetting" w:hAnsi="Arabic Typesetting" w:cs="Arabic Typesetting"/>
          <w:sz w:val="28"/>
          <w:szCs w:val="28"/>
          <w:lang w:val="en-US"/>
        </w:rPr>
        <w:t xml:space="preserve">story about a ghostly couple who, </w:t>
      </w:r>
      <w:r w:rsidR="002B2229">
        <w:rPr>
          <w:rFonts w:ascii="Arabic Typesetting" w:hAnsi="Arabic Typesetting" w:cs="Arabic Typesetting"/>
          <w:sz w:val="28"/>
          <w:szCs w:val="28"/>
          <w:lang w:val="en-US"/>
        </w:rPr>
        <w:t xml:space="preserve">as </w:t>
      </w:r>
      <w:r w:rsidR="00A90032">
        <w:rPr>
          <w:rFonts w:ascii="Arabic Typesetting" w:hAnsi="Arabic Typesetting" w:cs="Arabic Typesetting"/>
          <w:sz w:val="28"/>
          <w:szCs w:val="28"/>
          <w:lang w:val="en-US"/>
        </w:rPr>
        <w:t xml:space="preserve">rulers of the bush, </w:t>
      </w:r>
      <w:r w:rsidR="007242A3">
        <w:rPr>
          <w:rFonts w:ascii="Arabic Typesetting" w:hAnsi="Arabic Typesetting" w:cs="Arabic Typesetting"/>
          <w:sz w:val="28"/>
          <w:szCs w:val="28"/>
          <w:lang w:val="en-US"/>
        </w:rPr>
        <w:t xml:space="preserve">rely on a regularly held and eagerly attended banquet meant to display and </w:t>
      </w:r>
      <w:r w:rsidR="003255C0">
        <w:rPr>
          <w:rFonts w:ascii="Arabic Typesetting" w:hAnsi="Arabic Typesetting" w:cs="Arabic Typesetting"/>
          <w:sz w:val="28"/>
          <w:szCs w:val="28"/>
          <w:lang w:val="en-US"/>
        </w:rPr>
        <w:t>reproduce</w:t>
      </w:r>
      <w:r w:rsidR="008F4F4A">
        <w:rPr>
          <w:rFonts w:ascii="Arabic Typesetting" w:hAnsi="Arabic Typesetting" w:cs="Arabic Typesetting"/>
          <w:sz w:val="28"/>
          <w:szCs w:val="28"/>
          <w:lang w:val="en-US"/>
        </w:rPr>
        <w:t xml:space="preserve"> their authority</w:t>
      </w:r>
      <w:r w:rsidR="0091343F">
        <w:rPr>
          <w:rFonts w:ascii="Arabic Typesetting" w:hAnsi="Arabic Typesetting" w:cs="Arabic Typesetting"/>
          <w:sz w:val="28"/>
          <w:szCs w:val="28"/>
          <w:lang w:val="en-US"/>
        </w:rPr>
        <w:t>. Importantly, this reading</w:t>
      </w:r>
      <w:r w:rsidR="003255C0">
        <w:rPr>
          <w:rFonts w:ascii="Arabic Typesetting" w:hAnsi="Arabic Typesetting" w:cs="Arabic Typesetting"/>
          <w:sz w:val="28"/>
          <w:szCs w:val="28"/>
          <w:lang w:val="en-US"/>
        </w:rPr>
        <w:t xml:space="preserve"> also shows how Tutuola persistently</w:t>
      </w:r>
      <w:r w:rsidR="008F4F4A">
        <w:rPr>
          <w:rFonts w:ascii="Arabic Typesetting" w:hAnsi="Arabic Typesetting" w:cs="Arabic Typesetting"/>
          <w:sz w:val="28"/>
          <w:szCs w:val="28"/>
          <w:lang w:val="en-US"/>
        </w:rPr>
        <w:t xml:space="preserve"> inscribes loss as the </w:t>
      </w:r>
      <w:r w:rsidR="003255C0">
        <w:rPr>
          <w:rFonts w:ascii="Arabic Typesetting" w:hAnsi="Arabic Typesetting" w:cs="Arabic Typesetting"/>
          <w:sz w:val="28"/>
          <w:szCs w:val="28"/>
          <w:lang w:val="en-US"/>
        </w:rPr>
        <w:t>greatest political</w:t>
      </w:r>
      <w:r w:rsidR="008F4F4A">
        <w:rPr>
          <w:rFonts w:ascii="Arabic Typesetting" w:hAnsi="Arabic Typesetting" w:cs="Arabic Typesetting"/>
          <w:sz w:val="28"/>
          <w:szCs w:val="28"/>
          <w:lang w:val="en-US"/>
        </w:rPr>
        <w:t xml:space="preserve"> value</w:t>
      </w:r>
      <w:r w:rsidR="003255C0">
        <w:rPr>
          <w:rFonts w:ascii="Arabic Typesetting" w:hAnsi="Arabic Typesetting" w:cs="Arabic Typesetting"/>
          <w:sz w:val="28"/>
          <w:szCs w:val="28"/>
          <w:lang w:val="en-US"/>
        </w:rPr>
        <w:t>.</w:t>
      </w:r>
      <w:r w:rsidR="003E1DBF">
        <w:rPr>
          <w:rFonts w:ascii="Arabic Typesetting" w:hAnsi="Arabic Typesetting" w:cs="Arabic Typesetting"/>
          <w:sz w:val="28"/>
          <w:szCs w:val="28"/>
          <w:lang w:val="en-US"/>
        </w:rPr>
        <w:t xml:space="preserve"> Section II</w:t>
      </w:r>
      <w:r w:rsidR="00E43D3E">
        <w:rPr>
          <w:rFonts w:ascii="Arabic Typesetting" w:hAnsi="Arabic Typesetting" w:cs="Arabic Typesetting"/>
          <w:sz w:val="28"/>
          <w:szCs w:val="28"/>
          <w:lang w:val="en-US"/>
        </w:rPr>
        <w:t xml:space="preserve"> starts with a discussion of the boy as a pitcher and the way his disembodied </w:t>
      </w:r>
      <w:r w:rsidR="001355AA">
        <w:rPr>
          <w:rFonts w:ascii="Arabic Typesetting" w:hAnsi="Arabic Typesetting" w:cs="Arabic Typesetting"/>
          <w:sz w:val="28"/>
          <w:szCs w:val="28"/>
          <w:lang w:val="en-US"/>
        </w:rPr>
        <w:t>mouth thematizes</w:t>
      </w:r>
      <w:r w:rsidR="00091099">
        <w:rPr>
          <w:rFonts w:ascii="Arabic Typesetting" w:hAnsi="Arabic Typesetting" w:cs="Arabic Typesetting"/>
          <w:sz w:val="28"/>
          <w:szCs w:val="28"/>
          <w:lang w:val="en-US"/>
        </w:rPr>
        <w:t xml:space="preserve"> loss as gain and consuming as producing.</w:t>
      </w:r>
    </w:p>
    <w:p w14:paraId="0A7ED8F4" w14:textId="77777777" w:rsidR="00FB05FE" w:rsidRDefault="00FB05FE" w:rsidP="004A7B92">
      <w:pPr>
        <w:pStyle w:val="NoSpacing"/>
        <w:rPr>
          <w:rFonts w:ascii="Arabic Typesetting" w:hAnsi="Arabic Typesetting" w:cs="Arabic Typesetting"/>
          <w:sz w:val="28"/>
          <w:szCs w:val="28"/>
          <w:lang w:val="en-US"/>
        </w:rPr>
      </w:pPr>
    </w:p>
    <w:p w14:paraId="3F55D238" w14:textId="77777777" w:rsidR="00805EFA" w:rsidRDefault="003A1A25" w:rsidP="004A7B92">
      <w:pPr>
        <w:pStyle w:val="NoSpacing"/>
        <w:rPr>
          <w:rFonts w:ascii="Arabic Typesetting" w:hAnsi="Arabic Typesetting" w:cs="Arabic Typesetting"/>
          <w:sz w:val="28"/>
          <w:szCs w:val="28"/>
          <w:lang w:val="en-US"/>
        </w:rPr>
      </w:pPr>
      <w:r>
        <w:rPr>
          <w:rFonts w:ascii="Arabic Typesetting" w:hAnsi="Arabic Typesetting" w:cs="Arabic Typesetting"/>
          <w:sz w:val="28"/>
          <w:szCs w:val="28"/>
          <w:lang w:val="en-US"/>
        </w:rPr>
        <w:t xml:space="preserve">In section IV, </w:t>
      </w:r>
      <w:r w:rsidR="00901712">
        <w:rPr>
          <w:rFonts w:ascii="Arabic Typesetting" w:hAnsi="Arabic Typesetting" w:cs="Arabic Typesetting"/>
          <w:sz w:val="28"/>
          <w:szCs w:val="28"/>
          <w:lang w:val="en-US"/>
        </w:rPr>
        <w:t xml:space="preserve">I have added passages from the novel to provide textual evidence that </w:t>
      </w:r>
      <w:r>
        <w:rPr>
          <w:rFonts w:ascii="Arabic Typesetting" w:hAnsi="Arabic Typesetting" w:cs="Arabic Typesetting"/>
          <w:sz w:val="28"/>
          <w:szCs w:val="28"/>
          <w:lang w:val="en-US"/>
        </w:rPr>
        <w:t>the thematic framework of the narrative is the slave trade</w:t>
      </w:r>
      <w:r w:rsidR="002B1AC4">
        <w:rPr>
          <w:rFonts w:ascii="Arabic Typesetting" w:hAnsi="Arabic Typesetting" w:cs="Arabic Typesetting"/>
          <w:sz w:val="28"/>
          <w:szCs w:val="28"/>
          <w:lang w:val="en-US"/>
        </w:rPr>
        <w:t xml:space="preserve"> (a point suggested by the external reviewer)</w:t>
      </w:r>
      <w:r>
        <w:rPr>
          <w:rFonts w:ascii="Arabic Typesetting" w:hAnsi="Arabic Typesetting" w:cs="Arabic Typesetting"/>
          <w:sz w:val="28"/>
          <w:szCs w:val="28"/>
          <w:lang w:val="en-US"/>
        </w:rPr>
        <w:t>. It is also here that I explain why my reading sees the novel as engaging with the slave trade differently than Laura Murphy’s</w:t>
      </w:r>
      <w:r w:rsidR="005A7B4F">
        <w:rPr>
          <w:rFonts w:ascii="Arabic Typesetting" w:hAnsi="Arabic Typesetting" w:cs="Arabic Typesetting"/>
          <w:sz w:val="28"/>
          <w:szCs w:val="28"/>
          <w:lang w:val="en-US"/>
        </w:rPr>
        <w:t xml:space="preserve"> (a</w:t>
      </w:r>
      <w:r w:rsidR="002B1AC4">
        <w:rPr>
          <w:rFonts w:ascii="Arabic Typesetting" w:hAnsi="Arabic Typesetting" w:cs="Arabic Typesetting"/>
          <w:sz w:val="28"/>
          <w:szCs w:val="28"/>
          <w:lang w:val="en-US"/>
        </w:rPr>
        <w:t xml:space="preserve"> scholar whose work I have been </w:t>
      </w:r>
      <w:r w:rsidR="00C474B0">
        <w:rPr>
          <w:rFonts w:ascii="Arabic Typesetting" w:hAnsi="Arabic Typesetting" w:cs="Arabic Typesetting"/>
          <w:sz w:val="28"/>
          <w:szCs w:val="28"/>
          <w:lang w:val="en-US"/>
        </w:rPr>
        <w:t>asked to refer to)</w:t>
      </w:r>
      <w:r>
        <w:rPr>
          <w:rFonts w:ascii="Arabic Typesetting" w:hAnsi="Arabic Typesetting" w:cs="Arabic Typesetting"/>
          <w:sz w:val="28"/>
          <w:szCs w:val="28"/>
          <w:lang w:val="en-US"/>
        </w:rPr>
        <w:t>.</w:t>
      </w:r>
      <w:r w:rsidR="00C474B0">
        <w:rPr>
          <w:rFonts w:ascii="Arabic Typesetting" w:hAnsi="Arabic Typesetting" w:cs="Arabic Typesetting"/>
          <w:sz w:val="28"/>
          <w:szCs w:val="28"/>
          <w:lang w:val="en-US"/>
        </w:rPr>
        <w:t xml:space="preserve"> The point I make here is that Tutuola’s narrative engages with the slave trade through its </w:t>
      </w:r>
      <w:r w:rsidR="00047691">
        <w:rPr>
          <w:rFonts w:ascii="Arabic Typesetting" w:hAnsi="Arabic Typesetting" w:cs="Arabic Typesetting"/>
          <w:sz w:val="28"/>
          <w:szCs w:val="28"/>
          <w:lang w:val="en-US"/>
        </w:rPr>
        <w:t>recreation</w:t>
      </w:r>
      <w:r w:rsidR="00C474B0">
        <w:rPr>
          <w:rFonts w:ascii="Arabic Typesetting" w:hAnsi="Arabic Typesetting" w:cs="Arabic Typesetting"/>
          <w:sz w:val="28"/>
          <w:szCs w:val="28"/>
          <w:lang w:val="en-US"/>
        </w:rPr>
        <w:t xml:space="preserve"> of the particular logic of value production we saw</w:t>
      </w:r>
      <w:r w:rsidR="00047691">
        <w:rPr>
          <w:rFonts w:ascii="Arabic Typesetting" w:hAnsi="Arabic Typesetting" w:cs="Arabic Typesetting"/>
          <w:sz w:val="28"/>
          <w:szCs w:val="28"/>
          <w:lang w:val="en-US"/>
        </w:rPr>
        <w:t xml:space="preserve"> in 18</w:t>
      </w:r>
      <w:r w:rsidR="00047691" w:rsidRPr="00047691">
        <w:rPr>
          <w:rFonts w:ascii="Arabic Typesetting" w:hAnsi="Arabic Typesetting" w:cs="Arabic Typesetting"/>
          <w:sz w:val="28"/>
          <w:szCs w:val="28"/>
          <w:vertAlign w:val="superscript"/>
          <w:lang w:val="en-US"/>
        </w:rPr>
        <w:t>th</w:t>
      </w:r>
      <w:r w:rsidR="00047691">
        <w:rPr>
          <w:rFonts w:ascii="Arabic Typesetting" w:hAnsi="Arabic Typesetting" w:cs="Arabic Typesetting"/>
          <w:sz w:val="28"/>
          <w:szCs w:val="28"/>
          <w:lang w:val="en-US"/>
        </w:rPr>
        <w:t>-century speculative capitalism.</w:t>
      </w:r>
      <w:r w:rsidR="00C474B0">
        <w:rPr>
          <w:rFonts w:ascii="Arabic Typesetting" w:hAnsi="Arabic Typesetting" w:cs="Arabic Typesetting"/>
          <w:sz w:val="28"/>
          <w:szCs w:val="28"/>
          <w:lang w:val="en-US"/>
        </w:rPr>
        <w:t xml:space="preserve"> </w:t>
      </w:r>
      <w:r w:rsidR="009D606F">
        <w:rPr>
          <w:rFonts w:ascii="Arabic Typesetting" w:hAnsi="Arabic Typesetting" w:cs="Arabic Typesetting"/>
          <w:sz w:val="28"/>
          <w:szCs w:val="28"/>
          <w:lang w:val="en-US"/>
        </w:rPr>
        <w:t xml:space="preserve"> </w:t>
      </w:r>
    </w:p>
    <w:p w14:paraId="5A6E966B" w14:textId="77777777" w:rsidR="00531B04" w:rsidRDefault="00531B04" w:rsidP="00866AD7">
      <w:pPr>
        <w:pStyle w:val="NoSpacing"/>
        <w:rPr>
          <w:rFonts w:ascii="Arabic Typesetting" w:hAnsi="Arabic Typesetting" w:cs="Arabic Typesetting"/>
          <w:sz w:val="28"/>
          <w:szCs w:val="28"/>
          <w:lang w:val="en-US"/>
        </w:rPr>
      </w:pPr>
    </w:p>
    <w:p w14:paraId="5F8D6C2C" w14:textId="77777777" w:rsidR="00097354" w:rsidRPr="007962F2" w:rsidRDefault="00531B04" w:rsidP="00097354">
      <w:pPr>
        <w:pStyle w:val="NoSpacing"/>
        <w:rPr>
          <w:rFonts w:ascii="Arabic Typesetting" w:hAnsi="Arabic Typesetting" w:cs="Arabic Typesetting"/>
          <w:sz w:val="28"/>
          <w:szCs w:val="28"/>
          <w:u w:val="single"/>
          <w:lang w:val="en-US"/>
        </w:rPr>
      </w:pPr>
      <w:r>
        <w:rPr>
          <w:rFonts w:ascii="Arabic Typesetting" w:hAnsi="Arabic Typesetting" w:cs="Arabic Typesetting"/>
          <w:sz w:val="28"/>
          <w:szCs w:val="28"/>
          <w:lang w:val="en-US"/>
        </w:rPr>
        <w:t xml:space="preserve">In section VI, I have modified my interpretation of the mother as a ruler literally made by the food consumed to clarify why I argue </w:t>
      </w:r>
      <w:r w:rsidR="007962F2">
        <w:rPr>
          <w:rFonts w:ascii="Arabic Typesetting" w:hAnsi="Arabic Typesetting" w:cs="Arabic Typesetting"/>
          <w:sz w:val="28"/>
          <w:szCs w:val="28"/>
          <w:lang w:val="en-US"/>
        </w:rPr>
        <w:t>she is an illustrative example of the productive character of consumption</w:t>
      </w:r>
      <w:r w:rsidR="007962F2" w:rsidRPr="00097354">
        <w:rPr>
          <w:rFonts w:ascii="Arabic Typesetting" w:hAnsi="Arabic Typesetting" w:cs="Arabic Typesetting"/>
          <w:sz w:val="28"/>
          <w:szCs w:val="28"/>
          <w:lang w:val="en-US"/>
        </w:rPr>
        <w:t xml:space="preserve">. </w:t>
      </w:r>
      <w:r w:rsidR="00097354" w:rsidRPr="00097354">
        <w:rPr>
          <w:rFonts w:ascii="Arabic Typesetting" w:hAnsi="Arabic Typesetting" w:cs="Arabic Typesetting"/>
          <w:sz w:val="28"/>
          <w:szCs w:val="28"/>
          <w:lang w:val="en-US"/>
        </w:rPr>
        <w:t xml:space="preserve">I have also added a paragraph </w:t>
      </w:r>
      <w:r w:rsidR="00B10FCB">
        <w:rPr>
          <w:rFonts w:ascii="Arabic Typesetting" w:hAnsi="Arabic Typesetting" w:cs="Arabic Typesetting"/>
          <w:sz w:val="28"/>
          <w:szCs w:val="28"/>
          <w:lang w:val="en-US"/>
        </w:rPr>
        <w:t xml:space="preserve">in which I clarify that the mouth does not signify in the same way for everyone (and that what the boy’s mouth does is substantially different from what the mouth of the ruling and dominating ghosts does). </w:t>
      </w:r>
    </w:p>
    <w:p w14:paraId="4F7BC400" w14:textId="77777777" w:rsidR="00840429" w:rsidRDefault="00840429" w:rsidP="004A7B92">
      <w:pPr>
        <w:pStyle w:val="NoSpacing"/>
        <w:rPr>
          <w:rFonts w:ascii="Arabic Typesetting" w:hAnsi="Arabic Typesetting" w:cs="Arabic Typesetting"/>
          <w:sz w:val="28"/>
          <w:szCs w:val="28"/>
          <w:lang w:val="en-US"/>
        </w:rPr>
      </w:pPr>
    </w:p>
    <w:p w14:paraId="5A1B230B" w14:textId="77777777" w:rsidR="00C00360" w:rsidRDefault="00805EFA" w:rsidP="004A7B92">
      <w:pPr>
        <w:pStyle w:val="NoSpacing"/>
        <w:rPr>
          <w:rFonts w:ascii="Arabic Typesetting" w:hAnsi="Arabic Typesetting" w:cs="Arabic Typesetting"/>
          <w:sz w:val="28"/>
          <w:szCs w:val="28"/>
          <w:lang w:val="en-US"/>
        </w:rPr>
      </w:pPr>
      <w:r>
        <w:rPr>
          <w:rFonts w:ascii="Arabic Typesetting" w:hAnsi="Arabic Typesetting" w:cs="Arabic Typesetting"/>
          <w:sz w:val="28"/>
          <w:szCs w:val="28"/>
          <w:lang w:val="en-US"/>
        </w:rPr>
        <w:t xml:space="preserve">In section V, I offer a brief discussion of the question of excess, as suggested by the external reviewer; yet </w:t>
      </w:r>
      <w:r w:rsidR="006B5A83">
        <w:rPr>
          <w:rFonts w:ascii="Arabic Typesetting" w:hAnsi="Arabic Typesetting" w:cs="Arabic Typesetting"/>
          <w:sz w:val="28"/>
          <w:szCs w:val="28"/>
          <w:lang w:val="en-US"/>
        </w:rPr>
        <w:t xml:space="preserve">I </w:t>
      </w:r>
      <w:r w:rsidR="001A2E81">
        <w:rPr>
          <w:rFonts w:ascii="Arabic Typesetting" w:hAnsi="Arabic Typesetting" w:cs="Arabic Typesetting"/>
          <w:sz w:val="28"/>
          <w:szCs w:val="28"/>
          <w:lang w:val="en-US"/>
        </w:rPr>
        <w:t xml:space="preserve">approach the issue of excess from a different angle and </w:t>
      </w:r>
      <w:r>
        <w:rPr>
          <w:rFonts w:ascii="Arabic Typesetting" w:hAnsi="Arabic Typesetting" w:cs="Arabic Typesetting"/>
          <w:sz w:val="28"/>
          <w:szCs w:val="28"/>
          <w:lang w:val="en-US"/>
        </w:rPr>
        <w:t xml:space="preserve">argue that Tutuola’s text </w:t>
      </w:r>
      <w:r w:rsidR="00C00360">
        <w:rPr>
          <w:rFonts w:ascii="Arabic Typesetting" w:hAnsi="Arabic Typesetting" w:cs="Arabic Typesetting"/>
          <w:sz w:val="28"/>
          <w:szCs w:val="28"/>
          <w:lang w:val="en-US"/>
        </w:rPr>
        <w:t>is not preoccupied with a</w:t>
      </w:r>
      <w:r>
        <w:rPr>
          <w:rFonts w:ascii="Arabic Typesetting" w:hAnsi="Arabic Typesetting" w:cs="Arabic Typesetting"/>
          <w:sz w:val="28"/>
          <w:szCs w:val="28"/>
          <w:lang w:val="en-US"/>
        </w:rPr>
        <w:t xml:space="preserve"> critique</w:t>
      </w:r>
      <w:r w:rsidR="00C00360">
        <w:rPr>
          <w:rFonts w:ascii="Arabic Typesetting" w:hAnsi="Arabic Typesetting" w:cs="Arabic Typesetting"/>
          <w:sz w:val="28"/>
          <w:szCs w:val="28"/>
          <w:lang w:val="en-US"/>
        </w:rPr>
        <w:t xml:space="preserve"> of</w:t>
      </w:r>
      <w:r>
        <w:rPr>
          <w:rFonts w:ascii="Arabic Typesetting" w:hAnsi="Arabic Typesetting" w:cs="Arabic Typesetting"/>
          <w:sz w:val="28"/>
          <w:szCs w:val="28"/>
          <w:lang w:val="en-US"/>
        </w:rPr>
        <w:t xml:space="preserve"> excess as</w:t>
      </w:r>
      <w:r w:rsidR="00FA28EC">
        <w:rPr>
          <w:rFonts w:ascii="Arabic Typesetting" w:hAnsi="Arabic Typesetting" w:cs="Arabic Typesetting"/>
          <w:sz w:val="28"/>
          <w:szCs w:val="28"/>
          <w:lang w:val="en-US"/>
        </w:rPr>
        <w:t xml:space="preserve"> a cause of oppression</w:t>
      </w:r>
      <w:r>
        <w:rPr>
          <w:rFonts w:ascii="Arabic Typesetting" w:hAnsi="Arabic Typesetting" w:cs="Arabic Typesetting"/>
          <w:sz w:val="28"/>
          <w:szCs w:val="28"/>
          <w:lang w:val="en-US"/>
        </w:rPr>
        <w:t xml:space="preserve">, but rather, </w:t>
      </w:r>
      <w:r w:rsidR="00AC0A24">
        <w:rPr>
          <w:rFonts w:ascii="Arabic Typesetting" w:hAnsi="Arabic Typesetting" w:cs="Arabic Typesetting"/>
          <w:sz w:val="28"/>
          <w:szCs w:val="28"/>
          <w:lang w:val="en-US"/>
        </w:rPr>
        <w:t xml:space="preserve">points to how excess is co-opted by the utilitarian and rational logic of capitalism we have seen in the insurance practice and the Zong massacres; </w:t>
      </w:r>
      <w:r w:rsidR="00C00360">
        <w:rPr>
          <w:rFonts w:ascii="Arabic Typesetting" w:hAnsi="Arabic Typesetting" w:cs="Arabic Typesetting"/>
          <w:sz w:val="28"/>
          <w:szCs w:val="28"/>
          <w:lang w:val="en-US"/>
        </w:rPr>
        <w:t xml:space="preserve">the discussion of excess in reference to Flashed-eyed Mother reveals also how </w:t>
      </w:r>
      <w:r w:rsidR="00656E52">
        <w:rPr>
          <w:rFonts w:ascii="Arabic Typesetting" w:hAnsi="Arabic Typesetting" w:cs="Arabic Typesetting"/>
          <w:sz w:val="28"/>
          <w:szCs w:val="28"/>
          <w:lang w:val="en-US"/>
        </w:rPr>
        <w:t xml:space="preserve">the speculative logic </w:t>
      </w:r>
      <w:r w:rsidR="00365EF8">
        <w:rPr>
          <w:rFonts w:ascii="Arabic Typesetting" w:hAnsi="Arabic Typesetting" w:cs="Arabic Typesetting"/>
          <w:sz w:val="28"/>
          <w:szCs w:val="28"/>
          <w:lang w:val="en-US"/>
        </w:rPr>
        <w:t>discussed</w:t>
      </w:r>
      <w:r w:rsidR="00656E52">
        <w:rPr>
          <w:rFonts w:ascii="Arabic Typesetting" w:hAnsi="Arabic Typesetting" w:cs="Arabic Typesetting"/>
          <w:sz w:val="28"/>
          <w:szCs w:val="28"/>
          <w:lang w:val="en-US"/>
        </w:rPr>
        <w:t xml:space="preserve"> by Baucom</w:t>
      </w:r>
      <w:r w:rsidR="00C00360">
        <w:rPr>
          <w:rFonts w:ascii="Arabic Typesetting" w:hAnsi="Arabic Typesetting" w:cs="Arabic Typesetting"/>
          <w:sz w:val="28"/>
          <w:szCs w:val="28"/>
          <w:lang w:val="en-US"/>
        </w:rPr>
        <w:t xml:space="preserve"> pertains to Tutuola’s novel; </w:t>
      </w:r>
      <w:r w:rsidR="00A34438">
        <w:rPr>
          <w:rFonts w:ascii="Arabic Typesetting" w:hAnsi="Arabic Typesetting" w:cs="Arabic Typesetting"/>
          <w:sz w:val="28"/>
          <w:szCs w:val="28"/>
          <w:lang w:val="en-US"/>
        </w:rPr>
        <w:t>Consequently</w:t>
      </w:r>
      <w:r w:rsidR="00656E52">
        <w:rPr>
          <w:rFonts w:ascii="Arabic Typesetting" w:hAnsi="Arabic Typesetting" w:cs="Arabic Typesetting"/>
          <w:sz w:val="28"/>
          <w:szCs w:val="28"/>
          <w:lang w:val="en-US"/>
        </w:rPr>
        <w:t xml:space="preserve"> and relatedly</w:t>
      </w:r>
      <w:r w:rsidR="00A34438">
        <w:rPr>
          <w:rFonts w:ascii="Arabic Typesetting" w:hAnsi="Arabic Typesetting" w:cs="Arabic Typesetting"/>
          <w:sz w:val="28"/>
          <w:szCs w:val="28"/>
          <w:lang w:val="en-US"/>
        </w:rPr>
        <w:t xml:space="preserve">, </w:t>
      </w:r>
      <w:r w:rsidR="003A3BFB">
        <w:rPr>
          <w:rFonts w:ascii="Arabic Typesetting" w:hAnsi="Arabic Typesetting" w:cs="Arabic Typesetting"/>
          <w:sz w:val="28"/>
          <w:szCs w:val="28"/>
          <w:lang w:val="en-US"/>
        </w:rPr>
        <w:t xml:space="preserve">answering the guest editors’ request for more evidence of how Baucom’s work relates to Tutuola’s novel, </w:t>
      </w:r>
      <w:r w:rsidR="00674686">
        <w:rPr>
          <w:rFonts w:ascii="Arabic Typesetting" w:hAnsi="Arabic Typesetting" w:cs="Arabic Typesetting"/>
          <w:sz w:val="28"/>
          <w:szCs w:val="28"/>
          <w:lang w:val="en-US"/>
        </w:rPr>
        <w:t xml:space="preserve">towards the end of this section, I speak about how the novel </w:t>
      </w:r>
      <w:r w:rsidR="00522E3C">
        <w:rPr>
          <w:rFonts w:ascii="Arabic Typesetting" w:hAnsi="Arabic Typesetting" w:cs="Arabic Typesetting"/>
          <w:sz w:val="28"/>
          <w:szCs w:val="28"/>
          <w:lang w:val="en-US"/>
        </w:rPr>
        <w:t>frequently draws on</w:t>
      </w:r>
      <w:r w:rsidR="00674686">
        <w:rPr>
          <w:rFonts w:ascii="Arabic Typesetting" w:hAnsi="Arabic Typesetting" w:cs="Arabic Typesetting"/>
          <w:sz w:val="28"/>
          <w:szCs w:val="28"/>
          <w:lang w:val="en-US"/>
        </w:rPr>
        <w:t xml:space="preserve"> </w:t>
      </w:r>
      <w:r w:rsidR="00BD5ABF">
        <w:rPr>
          <w:rFonts w:ascii="Arabic Typesetting" w:hAnsi="Arabic Typesetting" w:cs="Arabic Typesetting"/>
          <w:sz w:val="28"/>
          <w:szCs w:val="28"/>
          <w:lang w:val="en-US"/>
        </w:rPr>
        <w:t xml:space="preserve">this logic, and briefly focus on an exemplary scene </w:t>
      </w:r>
      <w:r w:rsidR="00D030D6">
        <w:rPr>
          <w:rFonts w:ascii="Arabic Typesetting" w:hAnsi="Arabic Typesetting" w:cs="Arabic Typesetting"/>
          <w:sz w:val="28"/>
          <w:szCs w:val="28"/>
          <w:lang w:val="en-US"/>
        </w:rPr>
        <w:t xml:space="preserve">which dramatizes the creation of abstract value </w:t>
      </w:r>
      <w:r w:rsidR="003A3BFB">
        <w:rPr>
          <w:rFonts w:ascii="Arabic Typesetting" w:hAnsi="Arabic Typesetting" w:cs="Arabic Typesetting"/>
          <w:sz w:val="28"/>
          <w:szCs w:val="28"/>
          <w:lang w:val="en-US"/>
        </w:rPr>
        <w:t>into a ritual/ceremony celebrating the value of what is (presumed to be)</w:t>
      </w:r>
      <w:r w:rsidR="00D030D6">
        <w:rPr>
          <w:rFonts w:ascii="Arabic Typesetting" w:hAnsi="Arabic Typesetting" w:cs="Arabic Typesetting"/>
          <w:sz w:val="28"/>
          <w:szCs w:val="28"/>
          <w:lang w:val="en-US"/>
        </w:rPr>
        <w:t xml:space="preserve"> </w:t>
      </w:r>
      <w:r w:rsidR="003A3BFB">
        <w:rPr>
          <w:rFonts w:ascii="Arabic Typesetting" w:hAnsi="Arabic Typesetting" w:cs="Arabic Typesetting"/>
          <w:sz w:val="28"/>
          <w:szCs w:val="28"/>
          <w:lang w:val="en-US"/>
        </w:rPr>
        <w:t>to be dead.</w:t>
      </w:r>
      <w:r w:rsidR="00711FE0">
        <w:rPr>
          <w:rFonts w:ascii="Arabic Typesetting" w:hAnsi="Arabic Typesetting" w:cs="Arabic Typesetting"/>
          <w:sz w:val="28"/>
          <w:szCs w:val="28"/>
          <w:lang w:val="en-US"/>
        </w:rPr>
        <w:t xml:space="preserve"> Because it was not my intention to show how Tutuola’s figure of mouthwork relates directly to the speculative logic of the slave trade discussed by Baucom, I </w:t>
      </w:r>
      <w:r w:rsidR="002E5532">
        <w:rPr>
          <w:rFonts w:ascii="Arabic Typesetting" w:hAnsi="Arabic Typesetting" w:cs="Arabic Typesetting"/>
          <w:sz w:val="28"/>
          <w:szCs w:val="28"/>
          <w:lang w:val="en-US"/>
        </w:rPr>
        <w:t xml:space="preserve">provide a note which clarifies that </w:t>
      </w:r>
      <w:r w:rsidR="00711FE0">
        <w:rPr>
          <w:rFonts w:ascii="Arabic Typesetting" w:hAnsi="Arabic Typesetting" w:cs="Arabic Typesetting"/>
          <w:sz w:val="28"/>
          <w:szCs w:val="28"/>
          <w:lang w:val="en-US"/>
        </w:rPr>
        <w:t>my interest in Baucom and his work was to show how Tutuola’s novel addresses this logic and how his frequent deployments of the mouth are his unique way o</w:t>
      </w:r>
      <w:r w:rsidR="006D52C0">
        <w:rPr>
          <w:rFonts w:ascii="Arabic Typesetting" w:hAnsi="Arabic Typesetting" w:cs="Arabic Typesetting"/>
          <w:sz w:val="28"/>
          <w:szCs w:val="28"/>
          <w:lang w:val="en-US"/>
        </w:rPr>
        <w:t>f engaging with the slave trade and its aftermath.</w:t>
      </w:r>
    </w:p>
    <w:p w14:paraId="5E1C3E2D" w14:textId="77777777" w:rsidR="00E03F1D" w:rsidRDefault="00E03F1D" w:rsidP="004A7B92">
      <w:pPr>
        <w:pStyle w:val="NoSpacing"/>
        <w:rPr>
          <w:rFonts w:ascii="Arabic Typesetting" w:hAnsi="Arabic Typesetting" w:cs="Arabic Typesetting"/>
          <w:sz w:val="28"/>
          <w:szCs w:val="28"/>
          <w:lang w:val="en-US"/>
        </w:rPr>
      </w:pPr>
    </w:p>
    <w:p w14:paraId="7C8A34BD" w14:textId="77777777" w:rsidR="009B2275" w:rsidRDefault="00E03F1D" w:rsidP="004A7B92">
      <w:pPr>
        <w:pStyle w:val="NoSpacing"/>
        <w:rPr>
          <w:rFonts w:ascii="Arabic Typesetting" w:hAnsi="Arabic Typesetting" w:cs="Arabic Typesetting"/>
          <w:sz w:val="28"/>
          <w:szCs w:val="28"/>
          <w:lang w:val="en-US"/>
        </w:rPr>
      </w:pPr>
      <w:r>
        <w:rPr>
          <w:rFonts w:ascii="Arabic Typesetting" w:hAnsi="Arabic Typesetting" w:cs="Arabic Typesetting"/>
          <w:sz w:val="28"/>
          <w:szCs w:val="28"/>
          <w:lang w:val="en-US"/>
        </w:rPr>
        <w:lastRenderedPageBreak/>
        <w:t>Following the guest editors’ suggestion to reduce the number of possible meanings of the mouth I chose to focus on those that mimic the speculative logic or otherwise express</w:t>
      </w:r>
      <w:r w:rsidR="00EF2A4A">
        <w:rPr>
          <w:rFonts w:ascii="Arabic Typesetting" w:hAnsi="Arabic Typesetting" w:cs="Arabic Typesetting"/>
          <w:sz w:val="28"/>
          <w:szCs w:val="28"/>
          <w:lang w:val="en-US"/>
        </w:rPr>
        <w:t xml:space="preserve"> related</w:t>
      </w:r>
      <w:r w:rsidR="007823A0">
        <w:rPr>
          <w:rFonts w:ascii="Arabic Typesetting" w:hAnsi="Arabic Typesetting" w:cs="Arabic Typesetting"/>
          <w:sz w:val="28"/>
          <w:szCs w:val="28"/>
          <w:lang w:val="en-US"/>
        </w:rPr>
        <w:t xml:space="preserve"> economies</w:t>
      </w:r>
      <w:r w:rsidR="009B2275">
        <w:rPr>
          <w:rFonts w:ascii="Arabic Typesetting" w:hAnsi="Arabic Typesetting" w:cs="Arabic Typesetting"/>
          <w:sz w:val="28"/>
          <w:szCs w:val="28"/>
          <w:lang w:val="en-US"/>
        </w:rPr>
        <w:t>, whether the mouth belongs to Kurtz, the boy or the ghosts</w:t>
      </w:r>
      <w:r w:rsidR="007823A0">
        <w:rPr>
          <w:rFonts w:ascii="Arabic Typesetting" w:hAnsi="Arabic Typesetting" w:cs="Arabic Typesetting"/>
          <w:sz w:val="28"/>
          <w:szCs w:val="28"/>
          <w:lang w:val="en-US"/>
        </w:rPr>
        <w:t xml:space="preserve">. </w:t>
      </w:r>
      <w:r w:rsidR="00E3797F">
        <w:rPr>
          <w:rFonts w:ascii="Arabic Typesetting" w:hAnsi="Arabic Typesetting" w:cs="Arabic Typesetting"/>
          <w:sz w:val="28"/>
          <w:szCs w:val="28"/>
          <w:lang w:val="en-US"/>
        </w:rPr>
        <w:t xml:space="preserve">I have cut out some passages to remove those references to the mouth which do  not have any direct bearing on the economic life of the mouth. </w:t>
      </w:r>
      <w:r w:rsidR="009B2275">
        <w:rPr>
          <w:rFonts w:ascii="Arabic Typesetting" w:hAnsi="Arabic Typesetting" w:cs="Arabic Typesetting"/>
          <w:sz w:val="28"/>
          <w:szCs w:val="28"/>
          <w:lang w:val="en-US"/>
        </w:rPr>
        <w:t>The economies of the mouth also reveal the power relations that presuppose the distribution of productivity. I return to this point in section VI</w:t>
      </w:r>
      <w:r w:rsidR="0047502E">
        <w:rPr>
          <w:rFonts w:ascii="Arabic Typesetting" w:hAnsi="Arabic Typesetting" w:cs="Arabic Typesetting"/>
          <w:sz w:val="28"/>
          <w:szCs w:val="28"/>
          <w:lang w:val="en-US"/>
        </w:rPr>
        <w:t>.</w:t>
      </w:r>
    </w:p>
    <w:p w14:paraId="5D16222E" w14:textId="77777777" w:rsidR="003C3EF1" w:rsidRDefault="003C3EF1" w:rsidP="004A7B92">
      <w:pPr>
        <w:pStyle w:val="NoSpacing"/>
        <w:rPr>
          <w:rFonts w:ascii="Arabic Typesetting" w:hAnsi="Arabic Typesetting" w:cs="Arabic Typesetting"/>
          <w:sz w:val="28"/>
          <w:szCs w:val="28"/>
          <w:lang w:val="en-US"/>
        </w:rPr>
      </w:pPr>
    </w:p>
    <w:p w14:paraId="352A31BA" w14:textId="77777777" w:rsidR="003C3EF1" w:rsidRDefault="003C3EF1" w:rsidP="004A7B92">
      <w:pPr>
        <w:pStyle w:val="NoSpacing"/>
        <w:rPr>
          <w:rFonts w:ascii="Arabic Typesetting" w:hAnsi="Arabic Typesetting" w:cs="Arabic Typesetting"/>
          <w:sz w:val="28"/>
          <w:szCs w:val="28"/>
          <w:lang w:val="en-US"/>
        </w:rPr>
      </w:pPr>
      <w:r>
        <w:rPr>
          <w:rFonts w:ascii="Arabic Typesetting" w:hAnsi="Arabic Typesetting" w:cs="Arabic Typesetting"/>
          <w:sz w:val="28"/>
          <w:szCs w:val="28"/>
          <w:lang w:val="en-US"/>
        </w:rPr>
        <w:t xml:space="preserve">While I recognize that the question of the mouth as an organ of speech and consumption is an interesting one, pursuing this would mean moving in a direction remote from the main </w:t>
      </w:r>
      <w:r w:rsidR="00AA4321">
        <w:rPr>
          <w:rFonts w:ascii="Arabic Typesetting" w:hAnsi="Arabic Typesetting" w:cs="Arabic Typesetting"/>
          <w:sz w:val="28"/>
          <w:szCs w:val="28"/>
          <w:lang w:val="en-US"/>
        </w:rPr>
        <w:t xml:space="preserve">thematic concern of the paper. I briefly explain in a note, however, that the mouth that is unable to eat and unable to speak (as is the case with the boy), does not </w:t>
      </w:r>
      <w:r w:rsidR="00930F11">
        <w:rPr>
          <w:rFonts w:ascii="Arabic Typesetting" w:hAnsi="Arabic Typesetting" w:cs="Arabic Typesetting"/>
          <w:sz w:val="28"/>
          <w:szCs w:val="28"/>
          <w:lang w:val="en-US"/>
        </w:rPr>
        <w:t>lead to</w:t>
      </w:r>
      <w:r w:rsidR="00AA4321">
        <w:rPr>
          <w:rFonts w:ascii="Arabic Typesetting" w:hAnsi="Arabic Typesetting" w:cs="Arabic Typesetting"/>
          <w:sz w:val="28"/>
          <w:szCs w:val="28"/>
          <w:lang w:val="en-US"/>
        </w:rPr>
        <w:t xml:space="preserve"> the same consequences vis-à-vis power. In other words, being silenced, as suggested by the external reviewer, is not always equal to being oppressed by the ghostly regimes.</w:t>
      </w:r>
    </w:p>
    <w:p w14:paraId="2EC27F71" w14:textId="77777777" w:rsidR="00E4156D" w:rsidRDefault="00E4156D" w:rsidP="004A7B92">
      <w:pPr>
        <w:pStyle w:val="NoSpacing"/>
        <w:rPr>
          <w:rFonts w:ascii="Arabic Typesetting" w:hAnsi="Arabic Typesetting" w:cs="Arabic Typesetting"/>
          <w:sz w:val="28"/>
          <w:szCs w:val="28"/>
          <w:lang w:val="en-US"/>
        </w:rPr>
      </w:pPr>
    </w:p>
    <w:p w14:paraId="769FE7D7" w14:textId="77777777" w:rsidR="00E4156D" w:rsidRDefault="00E4156D" w:rsidP="004A7B92">
      <w:pPr>
        <w:pStyle w:val="NoSpacing"/>
        <w:rPr>
          <w:rFonts w:ascii="Arabic Typesetting" w:hAnsi="Arabic Typesetting" w:cs="Arabic Typesetting"/>
          <w:sz w:val="28"/>
          <w:szCs w:val="28"/>
          <w:lang w:val="en-US"/>
        </w:rPr>
      </w:pPr>
      <w:r>
        <w:rPr>
          <w:rFonts w:ascii="Arabic Typesetting" w:hAnsi="Arabic Typesetting" w:cs="Arabic Typesetting"/>
          <w:sz w:val="28"/>
          <w:szCs w:val="28"/>
          <w:lang w:val="en-US"/>
        </w:rPr>
        <w:t>I have addressed nearly all suggestions from the external reviewer and all the su</w:t>
      </w:r>
      <w:r w:rsidR="0058633C">
        <w:rPr>
          <w:rFonts w:ascii="Arabic Typesetting" w:hAnsi="Arabic Typesetting" w:cs="Arabic Typesetting"/>
          <w:sz w:val="28"/>
          <w:szCs w:val="28"/>
          <w:lang w:val="en-US"/>
        </w:rPr>
        <w:t xml:space="preserve">ggestions from the guest editors </w:t>
      </w:r>
      <w:r>
        <w:rPr>
          <w:rFonts w:ascii="Arabic Typesetting" w:hAnsi="Arabic Typesetting" w:cs="Arabic Typesetting"/>
          <w:sz w:val="28"/>
          <w:szCs w:val="28"/>
          <w:lang w:val="en-US"/>
        </w:rPr>
        <w:t xml:space="preserve">which concerned the conceptual </w:t>
      </w:r>
      <w:r w:rsidR="0058633C">
        <w:rPr>
          <w:rFonts w:ascii="Arabic Typesetting" w:hAnsi="Arabic Typesetting" w:cs="Arabic Typesetting"/>
          <w:sz w:val="28"/>
          <w:szCs w:val="28"/>
          <w:lang w:val="en-US"/>
        </w:rPr>
        <w:t xml:space="preserve">faults of the paper. That is, I have in particular focused on </w:t>
      </w:r>
      <w:r w:rsidR="002A4BBF">
        <w:rPr>
          <w:rFonts w:ascii="Arabic Typesetting" w:hAnsi="Arabic Typesetting" w:cs="Arabic Typesetting"/>
          <w:sz w:val="28"/>
          <w:szCs w:val="28"/>
          <w:lang w:val="en-US"/>
        </w:rPr>
        <w:t xml:space="preserve">sticking to (and clarifying where necessary) the economic significances of the mouth; I </w:t>
      </w:r>
      <w:r w:rsidR="004D5FEA">
        <w:rPr>
          <w:rFonts w:ascii="Arabic Typesetting" w:hAnsi="Arabic Typesetting" w:cs="Arabic Typesetting"/>
          <w:sz w:val="28"/>
          <w:szCs w:val="28"/>
          <w:lang w:val="en-US"/>
        </w:rPr>
        <w:t>substantiated the relevance of Baucom to Tutuola’s novel; I made clearer than it previously was the unequal economic (and thus political) potential of the boy’s mouth as opposed to th</w:t>
      </w:r>
      <w:r w:rsidR="00596661">
        <w:rPr>
          <w:rFonts w:ascii="Arabic Typesetting" w:hAnsi="Arabic Typesetting" w:cs="Arabic Typesetting"/>
          <w:sz w:val="28"/>
          <w:szCs w:val="28"/>
          <w:lang w:val="en-US"/>
        </w:rPr>
        <w:t>e mouth of the enslaving ghosts; I have reworked the entire beginning.</w:t>
      </w:r>
      <w:r w:rsidR="004D5FEA">
        <w:rPr>
          <w:rFonts w:ascii="Arabic Typesetting" w:hAnsi="Arabic Typesetting" w:cs="Arabic Typesetting"/>
          <w:sz w:val="28"/>
          <w:szCs w:val="28"/>
          <w:lang w:val="en-US"/>
        </w:rPr>
        <w:t xml:space="preserve"> </w:t>
      </w:r>
      <w:r w:rsidR="0058633C">
        <w:rPr>
          <w:rFonts w:ascii="Arabic Typesetting" w:hAnsi="Arabic Typesetting" w:cs="Arabic Typesetting"/>
          <w:sz w:val="28"/>
          <w:szCs w:val="28"/>
          <w:lang w:val="en-US"/>
        </w:rPr>
        <w:t>Because some of these suggestions</w:t>
      </w:r>
      <w:r w:rsidR="004D5FEA">
        <w:rPr>
          <w:rFonts w:ascii="Arabic Typesetting" w:hAnsi="Arabic Typesetting" w:cs="Arabic Typesetting"/>
          <w:sz w:val="28"/>
          <w:szCs w:val="28"/>
          <w:lang w:val="en-US"/>
        </w:rPr>
        <w:t xml:space="preserve"> were not firm recommendations, I took the liberty of not expanding on them (I mean the </w:t>
      </w:r>
      <w:r w:rsidR="008D1B8F">
        <w:rPr>
          <w:rFonts w:ascii="Arabic Typesetting" w:hAnsi="Arabic Typesetting" w:cs="Arabic Typesetting"/>
          <w:sz w:val="28"/>
          <w:szCs w:val="28"/>
          <w:lang w:val="en-US"/>
        </w:rPr>
        <w:t xml:space="preserve">last paragraph of the report). However thought-provoking they were (especially the question of representing the colonizer as a greedy, voracious eater and the possible implications of such reading), it felt that pursuing them would take the paper beyond its main focus. </w:t>
      </w:r>
      <w:r w:rsidR="004D5FEA">
        <w:rPr>
          <w:rFonts w:ascii="Arabic Typesetting" w:hAnsi="Arabic Typesetting" w:cs="Arabic Typesetting"/>
          <w:sz w:val="28"/>
          <w:szCs w:val="28"/>
          <w:lang w:val="en-US"/>
        </w:rPr>
        <w:t xml:space="preserve"> </w:t>
      </w:r>
      <w:r w:rsidR="0058633C">
        <w:rPr>
          <w:rFonts w:ascii="Arabic Typesetting" w:hAnsi="Arabic Typesetting" w:cs="Arabic Typesetting"/>
          <w:sz w:val="28"/>
          <w:szCs w:val="28"/>
          <w:lang w:val="en-US"/>
        </w:rPr>
        <w:t xml:space="preserve"> </w:t>
      </w:r>
    </w:p>
    <w:p w14:paraId="6F8E227B" w14:textId="77777777" w:rsidR="009B2275" w:rsidRDefault="009B2275" w:rsidP="004A7B92">
      <w:pPr>
        <w:pStyle w:val="NoSpacing"/>
        <w:rPr>
          <w:rFonts w:ascii="Arabic Typesetting" w:hAnsi="Arabic Typesetting" w:cs="Arabic Typesetting"/>
          <w:sz w:val="28"/>
          <w:szCs w:val="28"/>
          <w:lang w:val="en-US"/>
        </w:rPr>
      </w:pPr>
    </w:p>
    <w:p w14:paraId="3ACDC0CB" w14:textId="77777777" w:rsidR="00C00360" w:rsidRPr="00877B4E" w:rsidRDefault="00C00360" w:rsidP="004A7B92">
      <w:pPr>
        <w:pStyle w:val="NoSpacing"/>
        <w:rPr>
          <w:rFonts w:ascii="Arabic Typesetting" w:hAnsi="Arabic Typesetting" w:cs="Arabic Typesetting"/>
          <w:sz w:val="28"/>
          <w:szCs w:val="28"/>
          <w:lang w:val="en-US"/>
        </w:rPr>
      </w:pPr>
    </w:p>
    <w:sectPr w:rsidR="00C00360" w:rsidRPr="00877B4E" w:rsidSect="00A45E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abic Typesetting">
    <w:panose1 w:val="03020402040406030203"/>
    <w:charset w:val="00"/>
    <w:family w:val="auto"/>
    <w:pitch w:val="variable"/>
    <w:sig w:usb0="A000206F" w:usb1="C0000000" w:usb2="00000008" w:usb3="00000000" w:csb0="000000D3"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B92"/>
    <w:rsid w:val="0001428B"/>
    <w:rsid w:val="000153A0"/>
    <w:rsid w:val="000341FB"/>
    <w:rsid w:val="00047691"/>
    <w:rsid w:val="00091099"/>
    <w:rsid w:val="00097354"/>
    <w:rsid w:val="000C5942"/>
    <w:rsid w:val="000E3EF3"/>
    <w:rsid w:val="00107876"/>
    <w:rsid w:val="001355AA"/>
    <w:rsid w:val="001937A9"/>
    <w:rsid w:val="001A2E81"/>
    <w:rsid w:val="00281236"/>
    <w:rsid w:val="002A4BBF"/>
    <w:rsid w:val="002B1AC4"/>
    <w:rsid w:val="002B2229"/>
    <w:rsid w:val="002E5532"/>
    <w:rsid w:val="003255C0"/>
    <w:rsid w:val="00326E25"/>
    <w:rsid w:val="003304C1"/>
    <w:rsid w:val="0035267F"/>
    <w:rsid w:val="003649CB"/>
    <w:rsid w:val="00365EF8"/>
    <w:rsid w:val="003A1A25"/>
    <w:rsid w:val="003A3897"/>
    <w:rsid w:val="003A3BFB"/>
    <w:rsid w:val="003C3EF1"/>
    <w:rsid w:val="003E1DBF"/>
    <w:rsid w:val="003E66B9"/>
    <w:rsid w:val="003F49B0"/>
    <w:rsid w:val="00434139"/>
    <w:rsid w:val="0047502E"/>
    <w:rsid w:val="004A7B92"/>
    <w:rsid w:val="004D5FEA"/>
    <w:rsid w:val="004E0570"/>
    <w:rsid w:val="004E16B0"/>
    <w:rsid w:val="00522E3C"/>
    <w:rsid w:val="00531B04"/>
    <w:rsid w:val="0057039C"/>
    <w:rsid w:val="0058633C"/>
    <w:rsid w:val="00596661"/>
    <w:rsid w:val="005A7B4F"/>
    <w:rsid w:val="006216DA"/>
    <w:rsid w:val="0063408B"/>
    <w:rsid w:val="00656E52"/>
    <w:rsid w:val="00674686"/>
    <w:rsid w:val="00695541"/>
    <w:rsid w:val="006B5A83"/>
    <w:rsid w:val="006D52C0"/>
    <w:rsid w:val="0070157D"/>
    <w:rsid w:val="00711FE0"/>
    <w:rsid w:val="00721137"/>
    <w:rsid w:val="007242A3"/>
    <w:rsid w:val="007823A0"/>
    <w:rsid w:val="007962F2"/>
    <w:rsid w:val="007979CD"/>
    <w:rsid w:val="00800B9E"/>
    <w:rsid w:val="00805EFA"/>
    <w:rsid w:val="00831675"/>
    <w:rsid w:val="00834B4E"/>
    <w:rsid w:val="00840429"/>
    <w:rsid w:val="00866AD7"/>
    <w:rsid w:val="00877B4E"/>
    <w:rsid w:val="008D1B8F"/>
    <w:rsid w:val="008F4F4A"/>
    <w:rsid w:val="00901712"/>
    <w:rsid w:val="0091343F"/>
    <w:rsid w:val="00930F11"/>
    <w:rsid w:val="009631C0"/>
    <w:rsid w:val="00965C7B"/>
    <w:rsid w:val="009B2275"/>
    <w:rsid w:val="009D606F"/>
    <w:rsid w:val="00A34438"/>
    <w:rsid w:val="00A45EA4"/>
    <w:rsid w:val="00A47470"/>
    <w:rsid w:val="00A90032"/>
    <w:rsid w:val="00AA4321"/>
    <w:rsid w:val="00AC0A24"/>
    <w:rsid w:val="00B01DC5"/>
    <w:rsid w:val="00B0587D"/>
    <w:rsid w:val="00B10FCB"/>
    <w:rsid w:val="00B60193"/>
    <w:rsid w:val="00BD5ABF"/>
    <w:rsid w:val="00C00360"/>
    <w:rsid w:val="00C22C20"/>
    <w:rsid w:val="00C474B0"/>
    <w:rsid w:val="00C77238"/>
    <w:rsid w:val="00C82633"/>
    <w:rsid w:val="00D030D6"/>
    <w:rsid w:val="00D31A1C"/>
    <w:rsid w:val="00D32D74"/>
    <w:rsid w:val="00D44655"/>
    <w:rsid w:val="00D91F45"/>
    <w:rsid w:val="00DC5EA9"/>
    <w:rsid w:val="00DE5D6A"/>
    <w:rsid w:val="00E03F1D"/>
    <w:rsid w:val="00E3797F"/>
    <w:rsid w:val="00E4156D"/>
    <w:rsid w:val="00E43D3E"/>
    <w:rsid w:val="00E659F8"/>
    <w:rsid w:val="00EA07AC"/>
    <w:rsid w:val="00ED5BB7"/>
    <w:rsid w:val="00EF2A4A"/>
    <w:rsid w:val="00F614CC"/>
    <w:rsid w:val="00FA28EC"/>
    <w:rsid w:val="00FB05FE"/>
    <w:rsid w:val="00FD569F"/>
  </w:rsids>
  <m:mathPr>
    <m:mathFont m:val="Cambria Math"/>
    <m:brkBin m:val="before"/>
    <m:brkBinSub m:val="--"/>
    <m:smallFrac m:val="0"/>
    <m:dispDef/>
    <m:lMargin m:val="0"/>
    <m:rMargin m:val="0"/>
    <m:defJc m:val="centerGroup"/>
    <m:wrapIndent m:val="1440"/>
    <m:intLim m:val="subSup"/>
    <m:naryLim m:val="undOvr"/>
  </m:mathPr>
  <w:themeFontLang w:val="pl-P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11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5E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7B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856</Words>
  <Characters>4880</Characters>
  <Application>Microsoft Macintosh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emacura</dc:creator>
  <cp:lastModifiedBy>Brigitte Clarke</cp:lastModifiedBy>
  <cp:revision>2</cp:revision>
  <dcterms:created xsi:type="dcterms:W3CDTF">2018-02-01T18:35:00Z</dcterms:created>
  <dcterms:modified xsi:type="dcterms:W3CDTF">2018-02-01T18:35:00Z</dcterms:modified>
</cp:coreProperties>
</file>