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75" w:rsidRDefault="00DA6EE2" w:rsidP="00121E75">
      <w:pPr>
        <w:pStyle w:val="HTMLPreformatted"/>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Dr. Vikki </w:t>
      </w:r>
      <w:proofErr w:type="spellStart"/>
      <w:r>
        <w:rPr>
          <w:rFonts w:ascii="Times New Roman" w:hAnsi="Times New Roman" w:cs="Times New Roman"/>
          <w:color w:val="000000"/>
          <w:sz w:val="24"/>
          <w:szCs w:val="24"/>
        </w:rPr>
        <w:t>Visvi</w:t>
      </w:r>
      <w:r w:rsidR="00121E75">
        <w:rPr>
          <w:rFonts w:ascii="Times New Roman" w:hAnsi="Times New Roman" w:cs="Times New Roman"/>
          <w:color w:val="000000"/>
          <w:sz w:val="24"/>
          <w:szCs w:val="24"/>
        </w:rPr>
        <w:t>s</w:t>
      </w:r>
      <w:proofErr w:type="spellEnd"/>
    </w:p>
    <w:p w:rsidR="00121E75" w:rsidRDefault="00121E75" w:rsidP="00121E75">
      <w:pPr>
        <w:pStyle w:val="HTMLPreformatted"/>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Department of English, University of Toronto</w:t>
      </w:r>
    </w:p>
    <w:p w:rsidR="00121E75" w:rsidRDefault="00121E75" w:rsidP="00121E75">
      <w:pPr>
        <w:pStyle w:val="HTMLPreformatted"/>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170 St. George Street</w:t>
      </w:r>
    </w:p>
    <w:p w:rsidR="00121E75" w:rsidRDefault="00121E75" w:rsidP="00121E75">
      <w:pPr>
        <w:pStyle w:val="HTMLPreformatted"/>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Toronto, ON, M5R 2M8, Canada</w:t>
      </w:r>
    </w:p>
    <w:p w:rsidR="00121E75" w:rsidRDefault="00121E75" w:rsidP="00121E75">
      <w:pPr>
        <w:pStyle w:val="HTMLPreformatted"/>
        <w:shd w:val="clear" w:color="auto" w:fill="FFFFFF"/>
        <w:rPr>
          <w:rFonts w:ascii="Times New Roman" w:hAnsi="Times New Roman" w:cs="Times New Roman"/>
          <w:color w:val="000000"/>
          <w:sz w:val="24"/>
          <w:szCs w:val="24"/>
        </w:rPr>
      </w:pPr>
    </w:p>
    <w:p w:rsidR="00121E75" w:rsidRDefault="00121E75" w:rsidP="00121E75">
      <w:pPr>
        <w:pStyle w:val="HTMLPreformatted"/>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May 8, 2013</w:t>
      </w:r>
    </w:p>
    <w:p w:rsidR="00121E75" w:rsidRDefault="00121E75" w:rsidP="00121E75">
      <w:pPr>
        <w:pStyle w:val="HTMLPreformatted"/>
        <w:shd w:val="clear" w:color="auto" w:fill="FFFFFF"/>
        <w:rPr>
          <w:rFonts w:ascii="Times New Roman" w:hAnsi="Times New Roman" w:cs="Times New Roman"/>
          <w:color w:val="000000"/>
          <w:sz w:val="24"/>
          <w:szCs w:val="24"/>
        </w:rPr>
      </w:pPr>
    </w:p>
    <w:p w:rsidR="00121E75" w:rsidRPr="00121E75" w:rsidRDefault="00121E75" w:rsidP="00121E75">
      <w:pPr>
        <w:pStyle w:val="HTMLPreformatted"/>
        <w:shd w:val="clear" w:color="auto" w:fill="FFFFFF"/>
        <w:rPr>
          <w:rFonts w:ascii="Times New Roman" w:hAnsi="Times New Roman" w:cs="Times New Roman"/>
          <w:color w:val="000000"/>
          <w:sz w:val="24"/>
          <w:szCs w:val="24"/>
        </w:rPr>
      </w:pPr>
      <w:r w:rsidRPr="00121E75">
        <w:rPr>
          <w:rFonts w:ascii="Times New Roman" w:hAnsi="Times New Roman" w:cs="Times New Roman"/>
          <w:color w:val="000000"/>
          <w:sz w:val="24"/>
          <w:szCs w:val="24"/>
        </w:rPr>
        <w:t>ARIEL</w:t>
      </w:r>
    </w:p>
    <w:p w:rsidR="00121E75" w:rsidRPr="00121E75" w:rsidRDefault="00121E75" w:rsidP="00121E75">
      <w:pPr>
        <w:pStyle w:val="HTMLPreformatted"/>
        <w:shd w:val="clear" w:color="auto" w:fill="FFFFFF"/>
        <w:rPr>
          <w:rFonts w:ascii="Times New Roman" w:hAnsi="Times New Roman" w:cs="Times New Roman"/>
          <w:color w:val="000000"/>
          <w:sz w:val="24"/>
          <w:szCs w:val="24"/>
        </w:rPr>
      </w:pPr>
      <w:r w:rsidRPr="00121E75">
        <w:rPr>
          <w:rFonts w:ascii="Times New Roman" w:hAnsi="Times New Roman" w:cs="Times New Roman"/>
          <w:color w:val="000000"/>
          <w:sz w:val="24"/>
          <w:szCs w:val="24"/>
        </w:rPr>
        <w:t>Department of English, University of Calgary</w:t>
      </w:r>
    </w:p>
    <w:p w:rsidR="00121E75" w:rsidRPr="00121E75" w:rsidRDefault="00121E75" w:rsidP="00121E75">
      <w:pPr>
        <w:pStyle w:val="HTMLPreformatted"/>
        <w:shd w:val="clear" w:color="auto" w:fill="FFFFFF"/>
        <w:rPr>
          <w:rFonts w:ascii="Times New Roman" w:hAnsi="Times New Roman" w:cs="Times New Roman"/>
          <w:color w:val="000000"/>
          <w:sz w:val="24"/>
          <w:szCs w:val="24"/>
        </w:rPr>
      </w:pPr>
      <w:r w:rsidRPr="00121E75">
        <w:rPr>
          <w:rFonts w:ascii="Times New Roman" w:hAnsi="Times New Roman" w:cs="Times New Roman"/>
          <w:color w:val="000000"/>
          <w:sz w:val="24"/>
          <w:szCs w:val="24"/>
        </w:rPr>
        <w:t>2500 University Drive NW</w:t>
      </w:r>
    </w:p>
    <w:p w:rsidR="00121E75" w:rsidRPr="00121E75" w:rsidRDefault="00121E75" w:rsidP="00121E75">
      <w:pPr>
        <w:pStyle w:val="HTMLPreformatted"/>
        <w:shd w:val="clear" w:color="auto" w:fill="FFFFFF"/>
        <w:rPr>
          <w:rFonts w:ascii="Times New Roman" w:hAnsi="Times New Roman" w:cs="Times New Roman"/>
          <w:color w:val="000000"/>
          <w:sz w:val="24"/>
          <w:szCs w:val="24"/>
        </w:rPr>
      </w:pPr>
      <w:r w:rsidRPr="00121E75">
        <w:rPr>
          <w:rFonts w:ascii="Times New Roman" w:hAnsi="Times New Roman" w:cs="Times New Roman"/>
          <w:color w:val="000000"/>
          <w:sz w:val="24"/>
          <w:szCs w:val="24"/>
        </w:rPr>
        <w:t>Calgary, AB, T2N 1N4 Canada</w:t>
      </w:r>
    </w:p>
    <w:p w:rsidR="00121E75" w:rsidRPr="00121E75" w:rsidRDefault="00121E75">
      <w:pPr>
        <w:rPr>
          <w:rFonts w:ascii="Times New Roman" w:hAnsi="Times New Roman" w:cs="Times New Roman"/>
          <w:b/>
          <w:sz w:val="24"/>
          <w:szCs w:val="24"/>
        </w:rPr>
      </w:pPr>
    </w:p>
    <w:p w:rsidR="00121E75" w:rsidRDefault="00121E75">
      <w:pPr>
        <w:rPr>
          <w:rFonts w:ascii="Times New Roman" w:hAnsi="Times New Roman" w:cs="Times New Roman"/>
          <w:b/>
          <w:sz w:val="24"/>
          <w:szCs w:val="24"/>
        </w:rPr>
      </w:pPr>
    </w:p>
    <w:p w:rsidR="00284469" w:rsidRPr="009837DD" w:rsidRDefault="00812868">
      <w:pPr>
        <w:rPr>
          <w:rFonts w:ascii="Times New Roman" w:hAnsi="Times New Roman" w:cs="Times New Roman"/>
          <w:b/>
          <w:sz w:val="24"/>
          <w:szCs w:val="24"/>
        </w:rPr>
      </w:pPr>
      <w:r w:rsidRPr="009837DD">
        <w:rPr>
          <w:rFonts w:ascii="Times New Roman" w:hAnsi="Times New Roman" w:cs="Times New Roman"/>
          <w:b/>
          <w:sz w:val="24"/>
          <w:szCs w:val="24"/>
        </w:rPr>
        <w:t xml:space="preserve">RE: Summary of Revisions for “Postcolonial Trauma in David Bergen’s </w:t>
      </w:r>
      <w:r w:rsidRPr="009837DD">
        <w:rPr>
          <w:rFonts w:ascii="Times New Roman" w:hAnsi="Times New Roman" w:cs="Times New Roman"/>
          <w:b/>
          <w:i/>
          <w:sz w:val="24"/>
          <w:szCs w:val="24"/>
        </w:rPr>
        <w:t>The Time in Between</w:t>
      </w:r>
      <w:r w:rsidRPr="009837DD">
        <w:rPr>
          <w:rFonts w:ascii="Times New Roman" w:hAnsi="Times New Roman" w:cs="Times New Roman"/>
          <w:b/>
          <w:sz w:val="24"/>
          <w:szCs w:val="24"/>
        </w:rPr>
        <w:t>”</w:t>
      </w:r>
    </w:p>
    <w:p w:rsidR="00812868" w:rsidRDefault="00812868">
      <w:pPr>
        <w:rPr>
          <w:b/>
        </w:rPr>
      </w:pPr>
    </w:p>
    <w:p w:rsidR="00121E75" w:rsidRDefault="00121E75" w:rsidP="00121E75">
      <w:pPr>
        <w:pStyle w:val="HTMLPreformatted"/>
        <w:shd w:val="clear" w:color="auto" w:fill="FFFFFF"/>
        <w:rPr>
          <w:color w:val="000000"/>
        </w:rPr>
      </w:pPr>
      <w:r>
        <w:rPr>
          <w:rFonts w:ascii="Times New Roman" w:hAnsi="Times New Roman" w:cs="Times New Roman"/>
          <w:sz w:val="24"/>
          <w:szCs w:val="24"/>
        </w:rPr>
        <w:t xml:space="preserve">Dear </w:t>
      </w:r>
      <w:r w:rsidRPr="00121E75">
        <w:rPr>
          <w:rFonts w:ascii="Times New Roman" w:hAnsi="Times New Roman" w:cs="Times New Roman"/>
          <w:color w:val="000000"/>
          <w:sz w:val="24"/>
          <w:szCs w:val="24"/>
        </w:rPr>
        <w:t xml:space="preserve">Faye </w:t>
      </w:r>
      <w:proofErr w:type="spellStart"/>
      <w:r w:rsidRPr="00121E75">
        <w:rPr>
          <w:rFonts w:ascii="Times New Roman" w:hAnsi="Times New Roman" w:cs="Times New Roman"/>
          <w:color w:val="000000"/>
          <w:sz w:val="24"/>
          <w:szCs w:val="24"/>
        </w:rPr>
        <w:t>Halpern</w:t>
      </w:r>
      <w:proofErr w:type="spellEnd"/>
      <w:r w:rsidRPr="00121E75">
        <w:rPr>
          <w:rFonts w:ascii="Times New Roman" w:hAnsi="Times New Roman" w:cs="Times New Roman"/>
          <w:color w:val="000000"/>
          <w:sz w:val="24"/>
          <w:szCs w:val="24"/>
        </w:rPr>
        <w:t xml:space="preserve"> and Michael Clarke</w:t>
      </w:r>
      <w:r>
        <w:rPr>
          <w:rFonts w:ascii="Times New Roman" w:hAnsi="Times New Roman" w:cs="Times New Roman"/>
          <w:color w:val="000000"/>
          <w:sz w:val="24"/>
          <w:szCs w:val="24"/>
        </w:rPr>
        <w:t>,</w:t>
      </w:r>
    </w:p>
    <w:p w:rsidR="00121E75" w:rsidRDefault="00121E75" w:rsidP="00121E75">
      <w:pPr>
        <w:rPr>
          <w:rFonts w:ascii="Times New Roman" w:hAnsi="Times New Roman" w:cs="Times New Roman"/>
          <w:sz w:val="24"/>
          <w:szCs w:val="24"/>
        </w:rPr>
      </w:pPr>
    </w:p>
    <w:p w:rsidR="00121E75" w:rsidRDefault="00121E75" w:rsidP="001E0871">
      <w:pPr>
        <w:ind w:firstLine="720"/>
        <w:rPr>
          <w:rFonts w:ascii="Times New Roman" w:hAnsi="Times New Roman" w:cs="Times New Roman"/>
          <w:sz w:val="24"/>
          <w:szCs w:val="24"/>
        </w:rPr>
      </w:pPr>
    </w:p>
    <w:p w:rsidR="002C35FB" w:rsidRPr="00D85643" w:rsidRDefault="00121E75" w:rsidP="00121E75">
      <w:pPr>
        <w:rPr>
          <w:rFonts w:ascii="Times New Roman" w:hAnsi="Times New Roman" w:cs="Times New Roman"/>
          <w:sz w:val="24"/>
          <w:szCs w:val="24"/>
        </w:rPr>
      </w:pPr>
      <w:r>
        <w:rPr>
          <w:rFonts w:ascii="Times New Roman" w:hAnsi="Times New Roman" w:cs="Times New Roman"/>
          <w:sz w:val="24"/>
          <w:szCs w:val="24"/>
        </w:rPr>
        <w:t xml:space="preserve">Many thanks, again, for considering my submission to </w:t>
      </w:r>
      <w:r w:rsidRPr="00121E75">
        <w:rPr>
          <w:rFonts w:ascii="Times New Roman" w:hAnsi="Times New Roman" w:cs="Times New Roman"/>
          <w:i/>
          <w:sz w:val="24"/>
          <w:szCs w:val="24"/>
        </w:rPr>
        <w:t>ARIEL</w:t>
      </w:r>
      <w:r>
        <w:rPr>
          <w:rFonts w:ascii="Times New Roman" w:hAnsi="Times New Roman" w:cs="Times New Roman"/>
          <w:sz w:val="24"/>
          <w:szCs w:val="24"/>
        </w:rPr>
        <w:t xml:space="preserve">. </w:t>
      </w:r>
      <w:r w:rsidR="001E0871" w:rsidRPr="00121E75">
        <w:rPr>
          <w:rFonts w:ascii="Times New Roman" w:hAnsi="Times New Roman" w:cs="Times New Roman"/>
          <w:sz w:val="24"/>
          <w:szCs w:val="24"/>
        </w:rPr>
        <w:t>Numerous</w:t>
      </w:r>
      <w:r w:rsidR="001E0871" w:rsidRPr="00D85643">
        <w:rPr>
          <w:rFonts w:ascii="Times New Roman" w:hAnsi="Times New Roman" w:cs="Times New Roman"/>
          <w:sz w:val="24"/>
          <w:szCs w:val="24"/>
        </w:rPr>
        <w:t xml:space="preserve"> substantive and structural revisions have been made in accordance with the reader’s suggestions. </w:t>
      </w:r>
    </w:p>
    <w:p w:rsidR="002C35FB" w:rsidRPr="00D85643" w:rsidRDefault="002C35FB" w:rsidP="002C35FB">
      <w:pPr>
        <w:rPr>
          <w:rFonts w:ascii="Times New Roman" w:hAnsi="Times New Roman" w:cs="Times New Roman"/>
          <w:sz w:val="24"/>
          <w:szCs w:val="24"/>
        </w:rPr>
      </w:pPr>
    </w:p>
    <w:p w:rsidR="001E0871" w:rsidRPr="00D85643" w:rsidRDefault="001E0871" w:rsidP="002C35FB">
      <w:pPr>
        <w:rPr>
          <w:rFonts w:ascii="Times New Roman" w:hAnsi="Times New Roman" w:cs="Times New Roman"/>
          <w:sz w:val="24"/>
          <w:szCs w:val="24"/>
        </w:rPr>
      </w:pPr>
      <w:r w:rsidRPr="00D85643">
        <w:rPr>
          <w:rFonts w:ascii="Times New Roman" w:hAnsi="Times New Roman" w:cs="Times New Roman"/>
          <w:sz w:val="24"/>
          <w:szCs w:val="24"/>
        </w:rPr>
        <w:t>The theoretical context in the introduction has been refined for the purposes of concision, and the novel is mentioned much earlier in the introduction. The central thesis, which was originally at the end of the third paragraph, now opens the second paragraph and is prefaced by explicit statements that clarify the essay’</w:t>
      </w:r>
      <w:r w:rsidR="00D85643">
        <w:rPr>
          <w:rFonts w:ascii="Times New Roman" w:hAnsi="Times New Roman" w:cs="Times New Roman"/>
          <w:sz w:val="24"/>
          <w:szCs w:val="24"/>
        </w:rPr>
        <w:t>s intent</w:t>
      </w:r>
      <w:r w:rsidRPr="00D85643">
        <w:rPr>
          <w:rFonts w:ascii="Times New Roman" w:hAnsi="Times New Roman" w:cs="Times New Roman"/>
          <w:sz w:val="24"/>
          <w:szCs w:val="24"/>
        </w:rPr>
        <w:t xml:space="preserve"> and methodology. In addition, the thesis is restated and elaborated at the end of page 3 and beginning of page 4 to emphasize the essay’s methodology, focus, and broader implications: </w:t>
      </w:r>
    </w:p>
    <w:p w:rsidR="001E0871" w:rsidRPr="00D85643" w:rsidRDefault="001E0871" w:rsidP="001E0871">
      <w:pPr>
        <w:ind w:left="720"/>
        <w:rPr>
          <w:rFonts w:ascii="Times New Roman" w:hAnsi="Times New Roman" w:cs="Times New Roman"/>
          <w:sz w:val="24"/>
          <w:szCs w:val="24"/>
        </w:rPr>
      </w:pPr>
      <w:r w:rsidRPr="00D85643">
        <w:rPr>
          <w:rFonts w:ascii="Times New Roman" w:hAnsi="Times New Roman" w:cs="Times New Roman"/>
          <w:sz w:val="24"/>
          <w:szCs w:val="24"/>
        </w:rPr>
        <w:t xml:space="preserve">In effect, by studying Bergen’s novel through the lens of trauma theory and postcolonial politics, this essay reveals the extent to which trauma can reconcile cultural ruptures and address power imbalances: although the traumatic nightmare allows for cultural reconciliation, it does so only to a degree; </w:t>
      </w:r>
      <w:r w:rsidRPr="00D85643">
        <w:rPr>
          <w:rFonts w:ascii="Times New Roman" w:hAnsi="Times New Roman" w:cs="Times New Roman"/>
          <w:i/>
          <w:sz w:val="24"/>
          <w:szCs w:val="24"/>
        </w:rPr>
        <w:t>The Time in Between</w:t>
      </w:r>
      <w:r w:rsidRPr="00D85643">
        <w:rPr>
          <w:rFonts w:ascii="Times New Roman" w:hAnsi="Times New Roman" w:cs="Times New Roman"/>
          <w:sz w:val="24"/>
          <w:szCs w:val="24"/>
        </w:rPr>
        <w:t xml:space="preserve"> recognizes the need for alternative modes of political awareness, and thereby complicates any absolute or simplistic application of </w:t>
      </w:r>
      <w:proofErr w:type="spellStart"/>
      <w:r w:rsidRPr="00D85643">
        <w:rPr>
          <w:rFonts w:ascii="Times New Roman" w:hAnsi="Times New Roman" w:cs="Times New Roman"/>
          <w:sz w:val="24"/>
          <w:szCs w:val="24"/>
        </w:rPr>
        <w:t>Caruth’s</w:t>
      </w:r>
      <w:proofErr w:type="spellEnd"/>
      <w:r w:rsidRPr="00D85643">
        <w:rPr>
          <w:rFonts w:ascii="Times New Roman" w:hAnsi="Times New Roman" w:cs="Times New Roman"/>
          <w:sz w:val="24"/>
          <w:szCs w:val="24"/>
        </w:rPr>
        <w:t xml:space="preserve"> assertion that trauma “may provide the very link between cultures,” particularly in a postcolonial context. </w:t>
      </w:r>
    </w:p>
    <w:p w:rsidR="002C35FB" w:rsidRPr="002C35FB" w:rsidRDefault="0034435B" w:rsidP="002C35FB">
      <w:pPr>
        <w:pStyle w:val="HTMLPreformatted"/>
        <w:shd w:val="clear" w:color="auto" w:fill="FFFFFF"/>
        <w:rPr>
          <w:rFonts w:ascii="Times New Roman" w:hAnsi="Times New Roman" w:cs="Times New Roman"/>
          <w:color w:val="000000"/>
          <w:sz w:val="24"/>
          <w:szCs w:val="24"/>
        </w:rPr>
      </w:pPr>
      <w:r w:rsidRPr="00D85643">
        <w:rPr>
          <w:rFonts w:ascii="Times New Roman" w:hAnsi="Times New Roman" w:cs="Times New Roman"/>
          <w:sz w:val="24"/>
          <w:szCs w:val="24"/>
        </w:rPr>
        <w:t>The revised introduction thus</w:t>
      </w:r>
      <w:r w:rsidR="001E0871" w:rsidRPr="00D85643">
        <w:rPr>
          <w:rFonts w:ascii="Times New Roman" w:hAnsi="Times New Roman" w:cs="Times New Roman"/>
          <w:sz w:val="24"/>
          <w:szCs w:val="24"/>
        </w:rPr>
        <w:t xml:space="preserve"> i</w:t>
      </w:r>
      <w:r w:rsidR="00D85643">
        <w:rPr>
          <w:rFonts w:ascii="Times New Roman" w:hAnsi="Times New Roman" w:cs="Times New Roman"/>
          <w:sz w:val="24"/>
          <w:szCs w:val="24"/>
        </w:rPr>
        <w:t>ndicates that the essay discusses both</w:t>
      </w:r>
      <w:r w:rsidRPr="00D85643">
        <w:rPr>
          <w:rFonts w:ascii="Times New Roman" w:hAnsi="Times New Roman" w:cs="Times New Roman"/>
          <w:sz w:val="24"/>
          <w:szCs w:val="24"/>
        </w:rPr>
        <w:t xml:space="preserve"> representation</w:t>
      </w:r>
      <w:r w:rsidR="00D85643">
        <w:rPr>
          <w:rFonts w:ascii="Times New Roman" w:hAnsi="Times New Roman" w:cs="Times New Roman"/>
          <w:sz w:val="24"/>
          <w:szCs w:val="24"/>
        </w:rPr>
        <w:t>s</w:t>
      </w:r>
      <w:r w:rsidRPr="00D85643">
        <w:rPr>
          <w:rFonts w:ascii="Times New Roman" w:hAnsi="Times New Roman" w:cs="Times New Roman"/>
          <w:sz w:val="24"/>
          <w:szCs w:val="24"/>
        </w:rPr>
        <w:t xml:space="preserve"> of trauma in the novel, particularly as proof of intercultural reconciliation, and</w:t>
      </w:r>
      <w:r w:rsidR="002C35FB" w:rsidRPr="00D85643">
        <w:rPr>
          <w:rFonts w:ascii="Times New Roman" w:hAnsi="Times New Roman" w:cs="Times New Roman"/>
          <w:sz w:val="24"/>
          <w:szCs w:val="24"/>
        </w:rPr>
        <w:t xml:space="preserve"> </w:t>
      </w:r>
      <w:r w:rsidR="00775FCE">
        <w:rPr>
          <w:rFonts w:ascii="Times New Roman" w:hAnsi="Times New Roman" w:cs="Times New Roman"/>
          <w:sz w:val="24"/>
          <w:szCs w:val="24"/>
        </w:rPr>
        <w:t xml:space="preserve">offers </w:t>
      </w:r>
      <w:r w:rsidR="002C35FB" w:rsidRPr="00D85643">
        <w:rPr>
          <w:rFonts w:ascii="Times New Roman" w:hAnsi="Times New Roman" w:cs="Times New Roman"/>
          <w:sz w:val="24"/>
          <w:szCs w:val="24"/>
        </w:rPr>
        <w:t>a</w:t>
      </w:r>
      <w:r w:rsidRPr="00D85643">
        <w:rPr>
          <w:rFonts w:ascii="Times New Roman" w:hAnsi="Times New Roman" w:cs="Times New Roman"/>
          <w:sz w:val="24"/>
          <w:szCs w:val="24"/>
        </w:rPr>
        <w:t xml:space="preserve"> </w:t>
      </w:r>
      <w:r w:rsidR="001E0871" w:rsidRPr="00D85643">
        <w:rPr>
          <w:rFonts w:ascii="Times New Roman" w:hAnsi="Times New Roman" w:cs="Times New Roman"/>
          <w:sz w:val="24"/>
          <w:szCs w:val="24"/>
        </w:rPr>
        <w:t>critique of trauma theory from the perspective of postcolonial politics</w:t>
      </w:r>
      <w:r w:rsidRPr="00D85643">
        <w:rPr>
          <w:rFonts w:ascii="Times New Roman" w:hAnsi="Times New Roman" w:cs="Times New Roman"/>
          <w:sz w:val="24"/>
          <w:szCs w:val="24"/>
        </w:rPr>
        <w:t>.  It also addresses the reader’s concerns with the impression that “the novel has been deliberately constructed to respond to the limitations of trauma theory.” I ha</w:t>
      </w:r>
      <w:r w:rsidR="002C35FB" w:rsidRPr="00D85643">
        <w:rPr>
          <w:rFonts w:ascii="Times New Roman" w:hAnsi="Times New Roman" w:cs="Times New Roman"/>
          <w:sz w:val="24"/>
          <w:szCs w:val="24"/>
        </w:rPr>
        <w:t>ve tried</w:t>
      </w:r>
      <w:r w:rsidRPr="00D85643">
        <w:rPr>
          <w:rFonts w:ascii="Times New Roman" w:hAnsi="Times New Roman" w:cs="Times New Roman"/>
          <w:sz w:val="24"/>
          <w:szCs w:val="24"/>
        </w:rPr>
        <w:t xml:space="preserve"> to indicate that the essay is my interpretation of the novel through the lens of trauma theory and postco</w:t>
      </w:r>
      <w:r w:rsidR="002C35FB" w:rsidRPr="00D85643">
        <w:rPr>
          <w:rFonts w:ascii="Times New Roman" w:hAnsi="Times New Roman" w:cs="Times New Roman"/>
          <w:sz w:val="24"/>
          <w:szCs w:val="24"/>
        </w:rPr>
        <w:t xml:space="preserve">lonial politics, and in doing so, hope the argument no longer suggests the </w:t>
      </w:r>
      <w:r w:rsidR="002C35FB" w:rsidRPr="00D85643">
        <w:rPr>
          <w:rFonts w:ascii="Times New Roman" w:hAnsi="Times New Roman" w:cs="Times New Roman"/>
          <w:color w:val="000000"/>
          <w:sz w:val="24"/>
          <w:szCs w:val="24"/>
        </w:rPr>
        <w:t xml:space="preserve">novel </w:t>
      </w:r>
      <w:r w:rsidR="004F4C44" w:rsidRPr="00D85643">
        <w:rPr>
          <w:rFonts w:ascii="Times New Roman" w:hAnsi="Times New Roman" w:cs="Times New Roman"/>
          <w:color w:val="000000"/>
          <w:sz w:val="24"/>
          <w:szCs w:val="24"/>
        </w:rPr>
        <w:t xml:space="preserve">is </w:t>
      </w:r>
      <w:r w:rsidR="002C35FB" w:rsidRPr="00D85643">
        <w:rPr>
          <w:rFonts w:ascii="Times New Roman" w:hAnsi="Times New Roman" w:cs="Times New Roman"/>
          <w:color w:val="000000"/>
          <w:sz w:val="24"/>
          <w:szCs w:val="24"/>
        </w:rPr>
        <w:t xml:space="preserve">a programmatic response to discourses of trauma.  </w:t>
      </w:r>
    </w:p>
    <w:p w:rsidR="001E0871" w:rsidRPr="00D85643" w:rsidRDefault="002C35FB" w:rsidP="001E0871">
      <w:pPr>
        <w:rPr>
          <w:rFonts w:ascii="Times New Roman" w:hAnsi="Times New Roman" w:cs="Times New Roman"/>
          <w:b/>
          <w:sz w:val="24"/>
          <w:szCs w:val="24"/>
        </w:rPr>
      </w:pPr>
      <w:r w:rsidRPr="00D85643">
        <w:rPr>
          <w:rFonts w:ascii="Times New Roman" w:hAnsi="Times New Roman" w:cs="Times New Roman"/>
          <w:sz w:val="24"/>
          <w:szCs w:val="24"/>
        </w:rPr>
        <w:t xml:space="preserve"> </w:t>
      </w:r>
      <w:r w:rsidR="0034435B" w:rsidRPr="00D85643">
        <w:rPr>
          <w:rFonts w:ascii="Times New Roman" w:hAnsi="Times New Roman" w:cs="Times New Roman"/>
          <w:sz w:val="24"/>
          <w:szCs w:val="24"/>
        </w:rPr>
        <w:t xml:space="preserve">  </w:t>
      </w:r>
    </w:p>
    <w:p w:rsidR="00812868" w:rsidRPr="00D85643" w:rsidRDefault="001E0871">
      <w:pPr>
        <w:rPr>
          <w:rFonts w:ascii="Times New Roman" w:hAnsi="Times New Roman" w:cs="Times New Roman"/>
          <w:sz w:val="24"/>
          <w:szCs w:val="24"/>
        </w:rPr>
      </w:pPr>
      <w:r w:rsidRPr="00D85643">
        <w:rPr>
          <w:rFonts w:ascii="Times New Roman" w:hAnsi="Times New Roman" w:cs="Times New Roman"/>
          <w:sz w:val="24"/>
          <w:szCs w:val="24"/>
        </w:rPr>
        <w:t xml:space="preserve"> </w:t>
      </w:r>
      <w:r w:rsidR="002C35FB" w:rsidRPr="00D85643">
        <w:rPr>
          <w:rFonts w:ascii="Times New Roman" w:hAnsi="Times New Roman" w:cs="Times New Roman"/>
          <w:sz w:val="24"/>
          <w:szCs w:val="24"/>
        </w:rPr>
        <w:t>The structure of the essay has also been revised to address the reader’s concerns with the unequal treatment given to the section entitled “Animal Killings.” Given the reader’s valid reservations about the interpretation of Tomas</w:t>
      </w:r>
      <w:r w:rsidR="004F4C44" w:rsidRPr="00D85643">
        <w:rPr>
          <w:rFonts w:ascii="Times New Roman" w:hAnsi="Times New Roman" w:cs="Times New Roman"/>
          <w:sz w:val="24"/>
          <w:szCs w:val="24"/>
        </w:rPr>
        <w:t xml:space="preserve"> in this sub-section</w:t>
      </w:r>
      <w:r w:rsidR="002C35FB" w:rsidRPr="00D85643">
        <w:rPr>
          <w:rFonts w:ascii="Times New Roman" w:hAnsi="Times New Roman" w:cs="Times New Roman"/>
          <w:sz w:val="24"/>
          <w:szCs w:val="24"/>
        </w:rPr>
        <w:t>, I h</w:t>
      </w:r>
      <w:r w:rsidR="004F4C44" w:rsidRPr="00D85643">
        <w:rPr>
          <w:rFonts w:ascii="Times New Roman" w:hAnsi="Times New Roman" w:cs="Times New Roman"/>
          <w:sz w:val="24"/>
          <w:szCs w:val="24"/>
        </w:rPr>
        <w:t>ave decided to remove the</w:t>
      </w:r>
      <w:r w:rsidR="002C35FB" w:rsidRPr="00D85643">
        <w:rPr>
          <w:rFonts w:ascii="Times New Roman" w:hAnsi="Times New Roman" w:cs="Times New Roman"/>
          <w:sz w:val="24"/>
          <w:szCs w:val="24"/>
        </w:rPr>
        <w:t xml:space="preserve"> </w:t>
      </w:r>
      <w:r w:rsidR="002C35FB" w:rsidRPr="00D85643">
        <w:rPr>
          <w:rFonts w:ascii="Times New Roman" w:hAnsi="Times New Roman" w:cs="Times New Roman"/>
          <w:sz w:val="24"/>
          <w:szCs w:val="24"/>
        </w:rPr>
        <w:lastRenderedPageBreak/>
        <w:t>“Animal Killings”</w:t>
      </w:r>
      <w:r w:rsidR="004F4C44" w:rsidRPr="00D85643">
        <w:rPr>
          <w:rFonts w:ascii="Times New Roman" w:hAnsi="Times New Roman" w:cs="Times New Roman"/>
          <w:sz w:val="24"/>
          <w:szCs w:val="24"/>
        </w:rPr>
        <w:t xml:space="preserve"> portion of th</w:t>
      </w:r>
      <w:r w:rsidR="00D85643">
        <w:rPr>
          <w:rFonts w:ascii="Times New Roman" w:hAnsi="Times New Roman" w:cs="Times New Roman"/>
          <w:sz w:val="24"/>
          <w:szCs w:val="24"/>
        </w:rPr>
        <w:t>e</w:t>
      </w:r>
      <w:r w:rsidR="004F4C44" w:rsidRPr="00D85643">
        <w:rPr>
          <w:rFonts w:ascii="Times New Roman" w:hAnsi="Times New Roman" w:cs="Times New Roman"/>
          <w:sz w:val="24"/>
          <w:szCs w:val="24"/>
        </w:rPr>
        <w:t xml:space="preserve"> argument.</w:t>
      </w:r>
      <w:r w:rsidR="002C35FB" w:rsidRPr="00D85643">
        <w:rPr>
          <w:rFonts w:ascii="Times New Roman" w:hAnsi="Times New Roman" w:cs="Times New Roman"/>
          <w:sz w:val="24"/>
          <w:szCs w:val="24"/>
        </w:rPr>
        <w:t xml:space="preserve"> The essay is now composed of two more equal</w:t>
      </w:r>
      <w:r w:rsidR="004F4C44" w:rsidRPr="00D85643">
        <w:rPr>
          <w:rFonts w:ascii="Times New Roman" w:hAnsi="Times New Roman" w:cs="Times New Roman"/>
          <w:sz w:val="24"/>
          <w:szCs w:val="24"/>
        </w:rPr>
        <w:t>ly balanced</w:t>
      </w:r>
      <w:r w:rsidR="002C35FB" w:rsidRPr="00D85643">
        <w:rPr>
          <w:rFonts w:ascii="Times New Roman" w:hAnsi="Times New Roman" w:cs="Times New Roman"/>
          <w:sz w:val="24"/>
          <w:szCs w:val="24"/>
        </w:rPr>
        <w:t xml:space="preserve"> sections. Parts of the original “Animal Killings” section on the significance of parallelism in the novel have now been incorporated into </w:t>
      </w:r>
      <w:r w:rsidR="004F4C44" w:rsidRPr="00D85643">
        <w:rPr>
          <w:rFonts w:ascii="Times New Roman" w:hAnsi="Times New Roman" w:cs="Times New Roman"/>
          <w:sz w:val="24"/>
          <w:szCs w:val="24"/>
        </w:rPr>
        <w:t>the second subheading, which</w:t>
      </w:r>
      <w:r w:rsidR="002C35FB" w:rsidRPr="00D85643">
        <w:rPr>
          <w:rFonts w:ascii="Times New Roman" w:hAnsi="Times New Roman" w:cs="Times New Roman"/>
          <w:sz w:val="24"/>
          <w:szCs w:val="24"/>
        </w:rPr>
        <w:t xml:space="preserve"> reads “Beyond Apolitical Humanism: Parallelism, Self-reflexivity, and </w:t>
      </w:r>
      <w:proofErr w:type="spellStart"/>
      <w:r w:rsidR="002C35FB" w:rsidRPr="00D85643">
        <w:rPr>
          <w:rFonts w:ascii="Times New Roman" w:hAnsi="Times New Roman" w:cs="Times New Roman"/>
          <w:sz w:val="24"/>
          <w:szCs w:val="24"/>
        </w:rPr>
        <w:t>Aporia</w:t>
      </w:r>
      <w:proofErr w:type="spellEnd"/>
      <w:r w:rsidR="002C35FB" w:rsidRPr="00D85643">
        <w:rPr>
          <w:rFonts w:ascii="Times New Roman" w:hAnsi="Times New Roman" w:cs="Times New Roman"/>
          <w:sz w:val="24"/>
          <w:szCs w:val="24"/>
        </w:rPr>
        <w:t xml:space="preserve">.” </w:t>
      </w:r>
      <w:r w:rsidR="004F4C44" w:rsidRPr="00D85643">
        <w:rPr>
          <w:rFonts w:ascii="Times New Roman" w:hAnsi="Times New Roman" w:cs="Times New Roman"/>
          <w:sz w:val="24"/>
          <w:szCs w:val="24"/>
        </w:rPr>
        <w:t>In addition, the reader asked that clear distinctions between the various levels of narration be provided, particularly in discussions of parallelism. I have elaborated paragraphs on pages 5-6, 7, 12-13 to enhance these distinctions. In particular, narrative terminology, such as</w:t>
      </w:r>
      <w:r w:rsidR="001C6427">
        <w:rPr>
          <w:rFonts w:ascii="Times New Roman" w:hAnsi="Times New Roman" w:cs="Times New Roman"/>
          <w:sz w:val="24"/>
          <w:szCs w:val="24"/>
        </w:rPr>
        <w:t xml:space="preserve"> </w:t>
      </w:r>
      <w:proofErr w:type="spellStart"/>
      <w:r w:rsidR="001C6427">
        <w:rPr>
          <w:rFonts w:ascii="Times New Roman" w:hAnsi="Times New Roman" w:cs="Times New Roman"/>
          <w:sz w:val="24"/>
          <w:szCs w:val="24"/>
        </w:rPr>
        <w:t>diegesis</w:t>
      </w:r>
      <w:proofErr w:type="spellEnd"/>
      <w:r w:rsidR="001C6427">
        <w:rPr>
          <w:rFonts w:ascii="Times New Roman" w:hAnsi="Times New Roman" w:cs="Times New Roman"/>
          <w:sz w:val="24"/>
          <w:szCs w:val="24"/>
        </w:rPr>
        <w:t xml:space="preserve"> and </w:t>
      </w:r>
      <w:proofErr w:type="spellStart"/>
      <w:r w:rsidR="001C6427">
        <w:rPr>
          <w:rFonts w:ascii="Times New Roman" w:hAnsi="Times New Roman" w:cs="Times New Roman"/>
          <w:sz w:val="24"/>
          <w:szCs w:val="24"/>
        </w:rPr>
        <w:t>metadiegesis</w:t>
      </w:r>
      <w:proofErr w:type="spellEnd"/>
      <w:r w:rsidR="001C6427">
        <w:rPr>
          <w:rFonts w:ascii="Times New Roman" w:hAnsi="Times New Roman" w:cs="Times New Roman"/>
          <w:sz w:val="24"/>
          <w:szCs w:val="24"/>
        </w:rPr>
        <w:t>, has</w:t>
      </w:r>
      <w:r w:rsidR="004F4C44" w:rsidRPr="00D85643">
        <w:rPr>
          <w:rFonts w:ascii="Times New Roman" w:hAnsi="Times New Roman" w:cs="Times New Roman"/>
          <w:sz w:val="24"/>
          <w:szCs w:val="24"/>
        </w:rPr>
        <w:t xml:space="preserve"> been introduced to distinguish these levels of narration. The section on the Gothic (pp 9-14) has also been revised to address abrupt transitions and lack of clear signposting.  Also, as suggested by the reader, further proof of Charles Boatman’s temporal confusion has been added in a new paragraph on pages 7-8. I have tried to address the reader’s concerns with causal fallacies on p.16 by incorporating Linda </w:t>
      </w:r>
      <w:proofErr w:type="spellStart"/>
      <w:r w:rsidR="004F4C44" w:rsidRPr="00D85643">
        <w:rPr>
          <w:rFonts w:ascii="Times New Roman" w:hAnsi="Times New Roman" w:cs="Times New Roman"/>
          <w:sz w:val="24"/>
          <w:szCs w:val="24"/>
        </w:rPr>
        <w:t>Hutcheon’s</w:t>
      </w:r>
      <w:proofErr w:type="spellEnd"/>
      <w:r w:rsidR="004F4C44" w:rsidRPr="00D85643">
        <w:rPr>
          <w:rFonts w:ascii="Times New Roman" w:hAnsi="Times New Roman" w:cs="Times New Roman"/>
          <w:sz w:val="24"/>
          <w:szCs w:val="24"/>
        </w:rPr>
        <w:t xml:space="preserve"> discussion of humanism. Hopefully, this theoretical context will explain more clearly the logical progression of the argument here.</w:t>
      </w:r>
      <w:r w:rsidR="000221EB" w:rsidRPr="00D85643">
        <w:rPr>
          <w:rFonts w:ascii="Times New Roman" w:hAnsi="Times New Roman" w:cs="Times New Roman"/>
          <w:sz w:val="24"/>
          <w:szCs w:val="24"/>
        </w:rPr>
        <w:t xml:space="preserve"> The conclusion has also been set off and elaborated in accordance with the reader’s suggestions. Finally, I have tried to clarify prose and diction for enhanced precision and accuracy.</w:t>
      </w:r>
    </w:p>
    <w:p w:rsidR="002C35FB" w:rsidRPr="00D85643" w:rsidRDefault="002C35FB">
      <w:pPr>
        <w:rPr>
          <w:rFonts w:ascii="Times New Roman" w:hAnsi="Times New Roman" w:cs="Times New Roman"/>
          <w:sz w:val="24"/>
          <w:szCs w:val="24"/>
        </w:rPr>
      </w:pPr>
    </w:p>
    <w:sectPr w:rsidR="002C35FB" w:rsidRPr="00D85643" w:rsidSect="00260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12868"/>
    <w:rsid w:val="000221EB"/>
    <w:rsid w:val="0005447A"/>
    <w:rsid w:val="00121E75"/>
    <w:rsid w:val="001A0004"/>
    <w:rsid w:val="001C6427"/>
    <w:rsid w:val="001E0871"/>
    <w:rsid w:val="00236E7B"/>
    <w:rsid w:val="00260A76"/>
    <w:rsid w:val="002749B9"/>
    <w:rsid w:val="002C35FB"/>
    <w:rsid w:val="00323795"/>
    <w:rsid w:val="00325F1D"/>
    <w:rsid w:val="0034435B"/>
    <w:rsid w:val="00435B64"/>
    <w:rsid w:val="004F4C44"/>
    <w:rsid w:val="00775FCE"/>
    <w:rsid w:val="00812868"/>
    <w:rsid w:val="009837DD"/>
    <w:rsid w:val="00CF139F"/>
    <w:rsid w:val="00D22C53"/>
    <w:rsid w:val="00D85643"/>
    <w:rsid w:val="00DA6EE2"/>
    <w:rsid w:val="00DD5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C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C35F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01436521">
      <w:bodyDiv w:val="1"/>
      <w:marLeft w:val="0"/>
      <w:marRight w:val="0"/>
      <w:marTop w:val="0"/>
      <w:marBottom w:val="0"/>
      <w:divBdr>
        <w:top w:val="none" w:sz="0" w:space="0" w:color="auto"/>
        <w:left w:val="none" w:sz="0" w:space="0" w:color="auto"/>
        <w:bottom w:val="none" w:sz="0" w:space="0" w:color="auto"/>
        <w:right w:val="none" w:sz="0" w:space="0" w:color="auto"/>
      </w:divBdr>
    </w:div>
    <w:div w:id="683366339">
      <w:bodyDiv w:val="1"/>
      <w:marLeft w:val="0"/>
      <w:marRight w:val="0"/>
      <w:marTop w:val="0"/>
      <w:marBottom w:val="0"/>
      <w:divBdr>
        <w:top w:val="none" w:sz="0" w:space="0" w:color="auto"/>
        <w:left w:val="none" w:sz="0" w:space="0" w:color="auto"/>
        <w:bottom w:val="none" w:sz="0" w:space="0" w:color="auto"/>
        <w:right w:val="none" w:sz="0" w:space="0" w:color="auto"/>
      </w:divBdr>
    </w:div>
    <w:div w:id="7633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2013-05-09T06:24:00Z</dcterms:created>
  <dcterms:modified xsi:type="dcterms:W3CDTF">2013-05-09T06:24:00Z</dcterms:modified>
</cp:coreProperties>
</file>