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4C56B" w14:textId="4A36123A" w:rsidR="003D710C" w:rsidRDefault="003D710C" w:rsidP="006514F5">
      <w:pPr>
        <w:spacing w:line="240" w:lineRule="auto"/>
        <w:jc w:val="center"/>
        <w:rPr>
          <w:rFonts w:ascii="Times New Roman" w:eastAsia="Times New Roman" w:hAnsi="Times New Roman" w:cs="Times New Roman"/>
          <w:i/>
          <w:iCs/>
          <w:sz w:val="24"/>
          <w:szCs w:val="24"/>
        </w:rPr>
      </w:pPr>
      <w:r w:rsidRPr="003D710C">
        <w:rPr>
          <w:rFonts w:ascii="Times New Roman" w:eastAsia="Times New Roman" w:hAnsi="Times New Roman" w:cs="Times New Roman"/>
          <w:i/>
          <w:iCs/>
          <w:sz w:val="24"/>
          <w:szCs w:val="24"/>
        </w:rPr>
        <w:t>RESEARCH PAPER</w:t>
      </w:r>
    </w:p>
    <w:p w14:paraId="17661AD5" w14:textId="77777777" w:rsidR="003D710C" w:rsidRPr="003D710C" w:rsidRDefault="003D710C" w:rsidP="006514F5">
      <w:pPr>
        <w:spacing w:line="240" w:lineRule="auto"/>
        <w:jc w:val="center"/>
        <w:rPr>
          <w:rFonts w:ascii="Times New Roman" w:eastAsia="Times New Roman" w:hAnsi="Times New Roman" w:cs="Times New Roman"/>
          <w:i/>
          <w:iCs/>
          <w:sz w:val="24"/>
          <w:szCs w:val="24"/>
        </w:rPr>
      </w:pPr>
    </w:p>
    <w:p w14:paraId="658DB29D" w14:textId="2B304431" w:rsidR="002836A6" w:rsidRDefault="00000000" w:rsidP="006514F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Intellectual Migration from Periphery to the West: </w:t>
      </w:r>
    </w:p>
    <w:p w14:paraId="080A209B" w14:textId="7B3F5C26" w:rsidR="002836A6" w:rsidRDefault="00000000" w:rsidP="006514F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Exploring the Views of Kazakhstani Scholars Moving Abroad</w:t>
      </w:r>
    </w:p>
    <w:p w14:paraId="48BF1E15" w14:textId="77777777" w:rsidR="006514F5" w:rsidRDefault="006514F5" w:rsidP="006514F5">
      <w:pPr>
        <w:spacing w:line="240" w:lineRule="auto"/>
        <w:jc w:val="center"/>
        <w:rPr>
          <w:rFonts w:ascii="Times New Roman" w:eastAsia="Times New Roman" w:hAnsi="Times New Roman" w:cs="Times New Roman"/>
          <w:b/>
          <w:bCs/>
          <w:sz w:val="24"/>
          <w:szCs w:val="24"/>
        </w:rPr>
      </w:pPr>
    </w:p>
    <w:p w14:paraId="4B8A687C" w14:textId="32EE3669" w:rsidR="000C7E1F" w:rsidRDefault="004C711B" w:rsidP="006514F5">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Yergaliyev Kuanysh</w:t>
      </w:r>
      <w:r w:rsidRPr="004C711B">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0C7E1F" w:rsidRPr="00425F5A">
        <w:rPr>
          <w:rFonts w:ascii="Times New Roman" w:eastAsia="Times New Roman" w:hAnsi="Times New Roman" w:cs="Times New Roman"/>
          <w:sz w:val="24"/>
          <w:szCs w:val="24"/>
        </w:rPr>
        <w:t>Ayaganova</w:t>
      </w:r>
      <w:r w:rsidR="00AB2D83">
        <w:rPr>
          <w:rFonts w:ascii="Times New Roman" w:eastAsia="Times New Roman" w:hAnsi="Times New Roman" w:cs="Times New Roman"/>
          <w:sz w:val="24"/>
          <w:szCs w:val="24"/>
        </w:rPr>
        <w:t xml:space="preserve"> Akerke</w:t>
      </w:r>
      <w:r w:rsidR="00425F5A" w:rsidRPr="00425F5A">
        <w:rPr>
          <w:vertAlign w:val="superscript"/>
        </w:rPr>
        <w:t>1</w:t>
      </w:r>
      <w:r w:rsidRPr="004C711B">
        <w:t xml:space="preserve">, </w:t>
      </w:r>
      <w:r w:rsidRPr="004C711B">
        <w:rPr>
          <w:rFonts w:ascii="Times New Roman" w:eastAsia="Times New Roman" w:hAnsi="Times New Roman" w:cs="Times New Roman"/>
          <w:sz w:val="24"/>
          <w:szCs w:val="24"/>
        </w:rPr>
        <w:t xml:space="preserve">Kemeshova </w:t>
      </w:r>
      <w:r>
        <w:rPr>
          <w:rFonts w:ascii="Times New Roman" w:eastAsia="Times New Roman" w:hAnsi="Times New Roman" w:cs="Times New Roman"/>
          <w:sz w:val="24"/>
          <w:szCs w:val="24"/>
        </w:rPr>
        <w:t>Anel</w:t>
      </w:r>
      <w:r w:rsidRPr="004C711B">
        <w:rPr>
          <w:rFonts w:ascii="Times New Roman" w:eastAsia="Times New Roman" w:hAnsi="Times New Roman" w:cs="Times New Roman"/>
          <w:sz w:val="24"/>
          <w:szCs w:val="24"/>
          <w:vertAlign w:val="superscript"/>
        </w:rPr>
        <w:t>3</w:t>
      </w:r>
    </w:p>
    <w:p w14:paraId="77AA20A6" w14:textId="77777777" w:rsidR="004C711B" w:rsidRPr="00425F5A" w:rsidRDefault="004C711B" w:rsidP="006514F5">
      <w:pPr>
        <w:spacing w:line="240" w:lineRule="auto"/>
        <w:jc w:val="center"/>
        <w:rPr>
          <w:rFonts w:ascii="Times New Roman" w:eastAsia="Times New Roman" w:hAnsi="Times New Roman" w:cs="Times New Roman"/>
          <w:sz w:val="24"/>
          <w:szCs w:val="24"/>
        </w:rPr>
      </w:pPr>
    </w:p>
    <w:p w14:paraId="4195CDD1" w14:textId="2A16C556" w:rsidR="003B31C2" w:rsidRDefault="003B31C2" w:rsidP="003B31C2">
      <w:pPr>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Nazarbayev University School of Medicine, Astana, Kazakhstan </w:t>
      </w:r>
    </w:p>
    <w:p w14:paraId="2B05AD9C" w14:textId="77777777" w:rsidR="003B31C2" w:rsidRDefault="003B31C2" w:rsidP="003B31C2">
      <w:pPr>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Aktobe Regional University after K. Zhubanov, 34B Aliya Moldagulova str., Aktobe, 030000, Kazakhstan, </w:t>
      </w:r>
      <w:hyperlink r:id="rId8">
        <w:r>
          <w:rPr>
            <w:rFonts w:ascii="Times New Roman" w:eastAsia="Times New Roman" w:hAnsi="Times New Roman" w:cs="Times New Roman"/>
            <w:sz w:val="24"/>
            <w:szCs w:val="24"/>
            <w:u w:val="single"/>
          </w:rPr>
          <w:t>akerke.ayaganova@zhubanov.edu.kz</w:t>
        </w:r>
      </w:hyperlink>
      <w:r>
        <w:rPr>
          <w:rFonts w:ascii="Times New Roman" w:eastAsia="Times New Roman" w:hAnsi="Times New Roman" w:cs="Times New Roman"/>
          <w:sz w:val="24"/>
          <w:szCs w:val="24"/>
        </w:rPr>
        <w:t>, 0009-0002-4596-6717</w:t>
      </w:r>
    </w:p>
    <w:p w14:paraId="13E1F59E" w14:textId="4562C72C" w:rsidR="003B31C2" w:rsidRDefault="003B31C2" w:rsidP="003B31C2">
      <w:pPr>
        <w:numPr>
          <w:ilvl w:val="0"/>
          <w:numId w:val="3"/>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Nazarbayev University Graduate School of Education, Astana,Kazakhstan </w:t>
      </w:r>
    </w:p>
    <w:p w14:paraId="2F09D694" w14:textId="77777777" w:rsidR="00AB2D83" w:rsidRDefault="00AB2D83" w:rsidP="006514F5">
      <w:pPr>
        <w:spacing w:line="240" w:lineRule="auto"/>
        <w:jc w:val="both"/>
        <w:rPr>
          <w:rFonts w:ascii="Times New Roman" w:eastAsia="Times New Roman" w:hAnsi="Times New Roman" w:cs="Times New Roman"/>
          <w:b/>
          <w:bCs/>
          <w:sz w:val="24"/>
          <w:szCs w:val="24"/>
        </w:rPr>
      </w:pPr>
    </w:p>
    <w:p w14:paraId="3085F5EF" w14:textId="66F1E444" w:rsidR="000C7E1F" w:rsidRDefault="000C7E1F"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Abstract </w:t>
      </w:r>
    </w:p>
    <w:p w14:paraId="1E38A6A5" w14:textId="77777777" w:rsidR="000C7E1F" w:rsidRDefault="000C7E1F" w:rsidP="006514F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examines the motivations behind academic migration among Kazakhstani scholars working abroad, using qualitative data from the #100KZGALYM project. Drawing on thematic analysis of 30 publicly available interviews, the research identifies political, economic, social, and professional push and pull factors shaping scholars’ decisions to migrate. Findings reveal that migration is driven by structural issues within Kazakhstan’s academic and institutional environment, including perceived lack of meritocracy, unstable funding, bureaucratic constraints, and limited demand for academic expertise. Conversely, destination countries offer academic autonomy, research infrastructure, professional integration, and higher quality of life. The study situates these findings within push–pull theory and broader migration frameworks, arguing that intellectual migration reflects systemic misalignment between national academic systems and global knowledge economies. The findings suggest that intellectual migration from Kazakhstan is shaped not only by economic factors, but also by institutional quality, academic freedom, and professional opportunities. The study therefore implies that policies aimed at reducing skilled emigration should prioritize strengthening merit-based academic systems, research infrastructure, institutional transparency, and opportunities for international academic engagement. By exploring scholars’ lived experiences, this study contributes to understanding intellectual migration in post-Soviet contexts and offers recommendations for strengthening Kazakhstan’s academic ecosystem. </w:t>
      </w:r>
    </w:p>
    <w:p w14:paraId="7E5DD317" w14:textId="390B2AD1" w:rsidR="000C7E1F" w:rsidRDefault="000C7E1F" w:rsidP="006514F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Pr>
          <w:rFonts w:ascii="Times New Roman" w:eastAsia="Times New Roman" w:hAnsi="Times New Roman" w:cs="Times New Roman"/>
          <w:sz w:val="24"/>
          <w:szCs w:val="24"/>
        </w:rPr>
        <w:t>intellectual migration, brain drain, Kazakhstan, push and pull factors</w:t>
      </w:r>
    </w:p>
    <w:p w14:paraId="004CBC91" w14:textId="77777777" w:rsidR="006514F5" w:rsidRDefault="006514F5" w:rsidP="006514F5">
      <w:pPr>
        <w:pStyle w:val="NormalWeb"/>
      </w:pPr>
      <w:r>
        <w:rPr>
          <w:rStyle w:val="Strong"/>
        </w:rPr>
        <w:t>Аңдатпа</w:t>
      </w:r>
    </w:p>
    <w:p w14:paraId="1AEAA8B2" w14:textId="77777777" w:rsidR="006514F5" w:rsidRDefault="006514F5" w:rsidP="006514F5">
      <w:pPr>
        <w:pStyle w:val="NormalWeb"/>
      </w:pPr>
      <w:r>
        <w:t xml:space="preserve">Бұл зерттеу шетелде жұмыс істейтін қазақстандық ғалымдардың академиялық көші-қонға итермелейтін себептерін зерттейді. Зерттеу деректері #100KZGALYM жобасы аясында жиналған материалдарға негізделген. Жалпыға қолжетімді 30 сұхбатқа тақырыптық талдау жүргізу арқылы ғалымдардың көшу туралы шешімдеріне ықпал ететін саяси, экономикалық, әлеуметтік және кәсіби итеруші (push) және тартушы </w:t>
      </w:r>
      <w:r>
        <w:lastRenderedPageBreak/>
        <w:t>(pull) факторлар анықталды. Зерттеу нәтижелері көші-қонның Қазақстандағы академиялық және институционалдық ортадағы құрылымдық мәселелермен байланысты екенін көрсетті. Олардың қатарына меритократия қағидаттарының жеткіліксіздігі, қаржыландырудың тұрақсыздығы, бюрократиялық шектеулер және академиялық сараптамаға сұраныстың төмендігі жатады. Ал қабылдаушы елдер, керісінше, академиялық еркіндік, дамыған зерттеу инфрақұрылымы, кәсіби интеграция мүмкіндіктері және өмір сапасының жоғары деңгейі сияқты артықшылықтарды ұсынады.</w:t>
      </w:r>
    </w:p>
    <w:p w14:paraId="375679FA" w14:textId="77777777" w:rsidR="006514F5" w:rsidRDefault="006514F5" w:rsidP="006514F5">
      <w:pPr>
        <w:pStyle w:val="NormalWeb"/>
      </w:pPr>
      <w:r>
        <w:t>Зерттеу нәтижелері итеруші және тартушы факторлар теориясы мен көші-қонның кеңірек теориялық тұжырымдамалары аясында қарастырылады. Авторлар зияткерлік көші-қонды ұлттық академиялық жүйелер мен жаһандық білім экономикасының талаптары арасындағы жүйелік сәйкессіздіктің көрінісі ретінде сипаттайды. Нәтижелер Қазақстаннан орын алатын зияткерлік көші-қонның тек экономикалық себептермен ғана емес, сонымен қатар институционалдық сапа, академиялық еркіндік және кәсіби мүмкіндіктер сияқты факторлармен де айқындалатынын көрсетеді. Осыған байланысты зерттеу білікті мамандардың эмиграциясын азайтуға бағытталған саясаттар меритократиялық академиялық жүйелерді нығайтуға, зерттеу инфрақұрылымын дамытуға, институционалдық ашықтықты қамтамасыз етуге және халықаралық академиялық ынтымақтастық мүмкіндіктерін кеңейтуге басымдық беруі қажет деген қорытынды жасайды. Ғалымдардың өмірлік тәжірибелерін талдау арқылы бұл зерттеу посткеңестік кеңістіктегі зияткерлік көші-қонды тереңірек түсінуге үлес қосады және Қазақстанның академиялық экожүйесін нығайтуға арналған ұсыныстар ұсынады.</w:t>
      </w:r>
    </w:p>
    <w:p w14:paraId="0B922E5C" w14:textId="77777777" w:rsidR="006514F5" w:rsidRDefault="006514F5" w:rsidP="006514F5">
      <w:pPr>
        <w:pStyle w:val="NormalWeb"/>
      </w:pPr>
      <w:r>
        <w:rPr>
          <w:rStyle w:val="Strong"/>
        </w:rPr>
        <w:t>Түйін сөздер:</w:t>
      </w:r>
      <w:r>
        <w:t xml:space="preserve"> зияткерлік көші-қон, ми ағымы (brain drain), Қазақстан, итеруші және тартушы факторлар.</w:t>
      </w:r>
    </w:p>
    <w:p w14:paraId="13DF5EAA" w14:textId="77777777" w:rsidR="006514F5" w:rsidRPr="006514F5" w:rsidRDefault="006514F5" w:rsidP="006514F5">
      <w:pPr>
        <w:spacing w:line="240" w:lineRule="auto"/>
        <w:jc w:val="both"/>
        <w:rPr>
          <w:rFonts w:ascii="Times New Roman" w:eastAsia="Times New Roman" w:hAnsi="Times New Roman" w:cs="Times New Roman"/>
          <w:b/>
          <w:bCs/>
          <w:color w:val="1F1F1F"/>
          <w:sz w:val="24"/>
          <w:szCs w:val="24"/>
        </w:rPr>
      </w:pPr>
      <w:r w:rsidRPr="006514F5">
        <w:rPr>
          <w:rFonts w:ascii="Times New Roman" w:eastAsia="Times New Roman" w:hAnsi="Times New Roman" w:cs="Times New Roman"/>
          <w:b/>
          <w:bCs/>
          <w:color w:val="1F1F1F"/>
          <w:sz w:val="24"/>
          <w:szCs w:val="24"/>
        </w:rPr>
        <w:t>Introduction</w:t>
      </w:r>
    </w:p>
    <w:p w14:paraId="401677C3"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collapse of the Soviet Empire, fifteen countries began their independent development trajectories, and Kazakhstan, with the ninth largest territory in the world and a relatively low population density, faced significant challenges in establishing its position within the global economy (Tazhibayeva, 2017). During the 1990s, many prominent Kazakhstani scientists left the country. As noted by the Minister of Science and Higher Education, while Kazakhstan had approximately 52,000 scientific workers in the early 1990s, by 2000 only around 12,000 remained, resulting in the loss of nearly 35,000 scientists representing the third generation of Soviet-trained researchers (Bakhyt, 2024). Although the large-scale emigration of intellectuals during the early years of independence can be explained by economic hardship, political instability, and uncertainty, the reasons behind the continued outmigration of scholars during periods of relative economic and political stabilization remain insufficiently explored. While several local scholars such as Bokayev and Kaimoldiyev have examined the broader issue of brain drain in Kazakhstan (Bokayev et al., 2020; Bokayev, 2023; Kaimoldiyev, 2021), limited attention has been given specifically to intellectual migration. Overall, there remains a lack of comprehensive data and research on the emigration of Kazakhstani scholars.</w:t>
      </w:r>
    </w:p>
    <w:p w14:paraId="349D397B"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the 100KZGALYM project (translated as “100 Kazakh Scientists”), a public platform, was launched by Dr. Kuanysh Yergaliyev, MD, MPH, DrPH, Assistant Professor at Nazarbayev University School of Medicine. Initiated during his tenure as Vice Minister of Science and Higher Education of the Republic of Kazakhstan, the project aims to document and share the experiences of Kazakhstani scholars based in academic institutions around the </w:t>
      </w:r>
      <w:r>
        <w:rPr>
          <w:rFonts w:ascii="Times New Roman" w:eastAsia="Times New Roman" w:hAnsi="Times New Roman" w:cs="Times New Roman"/>
          <w:sz w:val="24"/>
          <w:szCs w:val="24"/>
        </w:rPr>
        <w:lastRenderedPageBreak/>
        <w:t>world. The goals of the project are threefold: a. to highlight the contributions of Kazakhstani academics and researchers abroad; b. to encourage collaboration and knowledge exchange between international and domestic scholars; c. to inspire Kazakhstani youth through stories of successful scientific careers.</w:t>
      </w:r>
    </w:p>
    <w:p w14:paraId="09F14CC8" w14:textId="69EFEE7E" w:rsidR="002836A6"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aims to fill-in the gap of knowledge  in the academic and policy literature about reasons and motivations of Kazakhstani scholars to leave abroad and  inform the policy makers about the motivations of Kazakhstani scholars working abroad to leave the country through the data obtained within the 100KZGALYM project. Therefore, the main research question of the study is: What are the motivations of Kazakhstani scholars to move abroad?</w:t>
      </w:r>
    </w:p>
    <w:p w14:paraId="091B48BC" w14:textId="77777777" w:rsidR="002836A6"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Migration and Intellectual Mobility in Kazakhstan</w:t>
      </w:r>
    </w:p>
    <w:p w14:paraId="46B5C0F5"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Migration Trends in Kazakhstan </w:t>
      </w:r>
    </w:p>
    <w:p w14:paraId="6902B917"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The migration process in Kazakhstan, according to the Migration Profile 2014-2019, can be described across four migration periods (Chernykh &amp; Burnashev, 2020). The period starts from the 1990s, after the country’s independence and open borders, that experienced a significant emigration, especially of the Russian speaking population. The second period starts with the 2000s that were associated with the socio-economic stabilization of the country. During this phase National migration policies such as the Migration Policy Program of the Republic of Kazakhstan for 2001–2010 and the Concepts of Migration Policy of the Republic of Kazakhstan (Concept in 2000 and Concept for 2007-2015 in 2007) were developed. From the late 2000s to the mid 2010s, that was the third migration period, global trends and the financial crisis influenced migration dynamics in Kazakhstan, resulting in the lowest migration balance in 2008 and  continued support for ethnic immigration until 2012. Since the mid 2010s - the fourth period - the focus of the national migration policy has shifted toward social and economic quality, with an emphasis on human capital development. Analysing the migration flows, the government started to pay attention not only to the quantitative indicators, but also to qualitative characteristics of the migration process. T</w:t>
      </w:r>
      <w:r>
        <w:rPr>
          <w:rFonts w:ascii="Times New Roman" w:eastAsia="Times New Roman" w:hAnsi="Times New Roman" w:cs="Times New Roman"/>
          <w:color w:val="1F1F1F"/>
          <w:sz w:val="24"/>
          <w:szCs w:val="24"/>
        </w:rPr>
        <w:t xml:space="preserve">he Concepts of Migration Policy of the Republic of Kazakhstan for 2017–2021 and 2023-2027 were developed. </w:t>
      </w:r>
    </w:p>
    <w:p w14:paraId="7A78B5F5" w14:textId="4AF9B788"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color w:val="1F1F1F"/>
          <w:sz w:val="24"/>
          <w:szCs w:val="24"/>
        </w:rPr>
        <w:t xml:space="preserve">According to the Figure 1 demonstrated below, Russia consistently remained the top destination for emigrants from Kazakhstan throughout 2014 - 2024, although the numbers have declined significantly since their peak in 2019 (Bureau of National Statistics, 2024). Emigration to Germany also remained relatively stable, with a slight decline in recent years. There are several reasons for the migration of Kazakhstanis to specifically Russia and Germany such as the presence of migration networks built on familial, friendly, and business ties. In terms of moving to the Western countries, including Germany, Kazakhstani people seek higher standard of living and the formation of diasporic communities by migrants from the former USSR countries, which have established migration networks that ease the integration process. Other countries that have been popular among the Kazakhstani people to move for the last 10 years are Belarus, Poland and the USA. Overall, while Russia continues to dominate as the primary destination, there is a clear downward trend in emigration across all countries by 2024. </w:t>
      </w:r>
    </w:p>
    <w:p w14:paraId="03E97B48" w14:textId="77777777" w:rsidR="002836A6"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1</w:t>
      </w:r>
    </w:p>
    <w:p w14:paraId="2F2B35A0" w14:textId="77777777" w:rsidR="002836A6"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i/>
          <w:iCs/>
          <w:sz w:val="24"/>
          <w:szCs w:val="24"/>
        </w:rPr>
        <w:t>Emigration trends from Kazakhstan to the top 5 countries between 2014 and 2024</w:t>
      </w:r>
    </w:p>
    <w:p w14:paraId="27B50502" w14:textId="77777777" w:rsidR="002836A6" w:rsidRDefault="00000000" w:rsidP="006514F5">
      <w:pPr>
        <w:spacing w:line="240" w:lineRule="auto"/>
        <w:ind w:left="180" w:right="210"/>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114300" distB="114300" distL="114300" distR="114300" wp14:anchorId="3C91A4DE" wp14:editId="3A6E9B09">
            <wp:extent cx="3899997" cy="2413000"/>
            <wp:effectExtent l="0" t="0" r="0" b="0"/>
            <wp:docPr id="1" name="image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0"/>
                </a:ext>
              </a:extLst>
            </wp:docPr>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9"/>
                    <a:srcRect/>
                    <a:stretch>
                      <a:fillRect/>
                    </a:stretch>
                  </pic:blipFill>
                  <pic:spPr>
                    <a:xfrm>
                      <a:off x="0" y="0"/>
                      <a:ext cx="3899997" cy="2413000"/>
                    </a:xfrm>
                    <a:prstGeom prst="rect">
                      <a:avLst/>
                    </a:prstGeom>
                    <a:ln/>
                  </pic:spPr>
                </pic:pic>
              </a:graphicData>
            </a:graphic>
          </wp:inline>
        </w:drawing>
      </w:r>
    </w:p>
    <w:p w14:paraId="668DD4F2" w14:textId="77777777" w:rsidR="002836A6" w:rsidRDefault="00000000" w:rsidP="006514F5">
      <w:pPr>
        <w:spacing w:line="240" w:lineRule="auto"/>
        <w:jc w:val="both"/>
        <w:rPr>
          <w:rFonts w:ascii="Times New Roman" w:eastAsia="Times New Roman" w:hAnsi="Times New Roman" w:cs="Times New Roman"/>
          <w:b/>
          <w:bCs/>
          <w:i/>
          <w:iCs/>
          <w:color w:val="1F1F1F"/>
          <w:sz w:val="24"/>
          <w:szCs w:val="24"/>
        </w:rPr>
      </w:pPr>
      <w:r>
        <w:rPr>
          <w:rFonts w:ascii="Times New Roman" w:eastAsia="Times New Roman" w:hAnsi="Times New Roman" w:cs="Times New Roman"/>
          <w:b/>
          <w:bCs/>
          <w:i/>
          <w:iCs/>
          <w:color w:val="1F1F1F"/>
          <w:sz w:val="24"/>
          <w:szCs w:val="24"/>
        </w:rPr>
        <w:t xml:space="preserve">Educational and Occupational Profiles of Emigrants </w:t>
      </w:r>
    </w:p>
    <w:p w14:paraId="6A2F4318" w14:textId="28839BA5" w:rsidR="002836A6"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Overall, for the last 10 years, between 2011-2022, among those who moved abroad, 38% of people had a higher education degree and 34% had technical and professional qualifications (Government of the Republic of Kazakhstan, 2022). According to the statistics provided at Taldau Analytical center (n.d.), the number of people with higher education degrees who left the country in 2024 has constituted 2962 (Taldau, n.d.). In terms of their specialization areas as illustrated in the Figure 2 below, the majority of Kazakhstani emigrants come from technical fields and economic specialties, indicating a significant outflow of professionally skilled individuals. Education and medicine also represent notable sectors, reflecting the emigration of qualified personnel in public service areas. Meanwhile, fields like law, architecture, and agriculture show lower but still relevant levels of emigration.</w:t>
      </w:r>
    </w:p>
    <w:p w14:paraId="322DE13C" w14:textId="77777777" w:rsidR="002836A6" w:rsidRDefault="00000000" w:rsidP="006514F5">
      <w:pPr>
        <w:spacing w:line="240"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Figure 2</w:t>
      </w:r>
    </w:p>
    <w:p w14:paraId="25269BC2" w14:textId="77777777" w:rsidR="002836A6" w:rsidRDefault="00000000" w:rsidP="006514F5">
      <w:pPr>
        <w:spacing w:line="240" w:lineRule="auto"/>
        <w:jc w:val="both"/>
        <w:rPr>
          <w:rFonts w:ascii="Times New Roman" w:eastAsia="Times New Roman" w:hAnsi="Times New Roman" w:cs="Times New Roman"/>
          <w:i/>
          <w:iCs/>
          <w:color w:val="1F1F1F"/>
          <w:sz w:val="24"/>
          <w:szCs w:val="24"/>
        </w:rPr>
      </w:pPr>
      <w:r>
        <w:rPr>
          <w:rFonts w:ascii="Times New Roman" w:eastAsia="Times New Roman" w:hAnsi="Times New Roman" w:cs="Times New Roman"/>
          <w:i/>
          <w:iCs/>
          <w:color w:val="1F1F1F"/>
          <w:sz w:val="24"/>
          <w:szCs w:val="24"/>
        </w:rPr>
        <w:t>Occupational profiles of emigrants from KZ</w:t>
      </w:r>
    </w:p>
    <w:p w14:paraId="5532169A" w14:textId="77777777" w:rsidR="002836A6"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 </w:t>
      </w:r>
    </w:p>
    <w:p w14:paraId="7D99E377" w14:textId="77777777" w:rsidR="002836A6" w:rsidRDefault="00000000" w:rsidP="006514F5">
      <w:pPr>
        <w:spacing w:line="240" w:lineRule="auto"/>
        <w:jc w:val="both"/>
        <w:rPr>
          <w:rFonts w:ascii="Times New Roman" w:eastAsia="Times New Roman" w:hAnsi="Times New Roman" w:cs="Times New Roman"/>
          <w:i/>
          <w:iCs/>
          <w:color w:val="1F1F1F"/>
          <w:sz w:val="24"/>
          <w:szCs w:val="24"/>
        </w:rPr>
      </w:pPr>
      <w:r>
        <w:rPr>
          <w:rFonts w:ascii="Times New Roman" w:eastAsia="Times New Roman" w:hAnsi="Times New Roman" w:cs="Times New Roman"/>
          <w:noProof/>
          <w:color w:val="1F1F1F"/>
          <w:sz w:val="24"/>
          <w:szCs w:val="24"/>
        </w:rPr>
        <w:drawing>
          <wp:inline distT="114300" distB="114300" distL="114300" distR="114300" wp14:anchorId="403E7F90" wp14:editId="38B0823E">
            <wp:extent cx="4178138" cy="2578100"/>
            <wp:effectExtent l="0" t="0" r="0" b="0"/>
            <wp:docPr id="2" name="image1.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
                </a:ext>
              </a:extLst>
            </wp:docPr>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0"/>
                    <a:srcRect/>
                    <a:stretch>
                      <a:fillRect/>
                    </a:stretch>
                  </pic:blipFill>
                  <pic:spPr>
                    <a:xfrm>
                      <a:off x="0" y="0"/>
                      <a:ext cx="4178138" cy="2578100"/>
                    </a:xfrm>
                    <a:prstGeom prst="rect">
                      <a:avLst/>
                    </a:prstGeom>
                    <a:ln/>
                  </pic:spPr>
                </pic:pic>
              </a:graphicData>
            </a:graphic>
          </wp:inline>
        </w:drawing>
      </w:r>
    </w:p>
    <w:p w14:paraId="13B83E0D" w14:textId="77777777" w:rsidR="002836A6" w:rsidRDefault="00000000" w:rsidP="006514F5">
      <w:pPr>
        <w:spacing w:line="240" w:lineRule="auto"/>
        <w:jc w:val="both"/>
        <w:rPr>
          <w:rFonts w:ascii="Times New Roman" w:eastAsia="Times New Roman" w:hAnsi="Times New Roman" w:cs="Times New Roman"/>
          <w:b/>
          <w:bCs/>
          <w:i/>
          <w:iCs/>
          <w:color w:val="1F1F1F"/>
          <w:sz w:val="24"/>
          <w:szCs w:val="24"/>
        </w:rPr>
      </w:pPr>
      <w:r>
        <w:rPr>
          <w:rFonts w:ascii="Times New Roman" w:eastAsia="Times New Roman" w:hAnsi="Times New Roman" w:cs="Times New Roman"/>
          <w:b/>
          <w:bCs/>
          <w:i/>
          <w:iCs/>
          <w:color w:val="1F1F1F"/>
          <w:sz w:val="24"/>
          <w:szCs w:val="24"/>
        </w:rPr>
        <w:t>State Policies and Return Initiatives</w:t>
      </w:r>
    </w:p>
    <w:p w14:paraId="2FB4DFC6" w14:textId="77777777" w:rsidR="006514F5"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Kazakhstan has begun to place significant emphasis on the development of science and return of the Kazakhstani scholars to the country in recent years. One of the major steps in this </w:t>
      </w:r>
      <w:r>
        <w:rPr>
          <w:rFonts w:ascii="Times New Roman" w:eastAsia="Times New Roman" w:hAnsi="Times New Roman" w:cs="Times New Roman"/>
          <w:color w:val="1F1F1F"/>
          <w:sz w:val="24"/>
          <w:szCs w:val="24"/>
        </w:rPr>
        <w:lastRenderedPageBreak/>
        <w:t>direction was the establishment of a separate Ministry of Science and Higher Education (hereinafter – the Ministry) in 2022. Previously, a single Ministry of Education oversaw all levels of education. The Ministry has developed the Concept for the Development of Higher Education and Science in the Republic of Kazakhstan for 2023–2029, which outlines 13 strategic directions, five of which are dedicated to science (Ministry of Science and Higher Education of the Republic of Kazakhstan, 2023). These directions address various issues related to science, including a new model of science governance, modernization and digitalization of scientific infrastructure, the development of university-based research, and the advancement of applied science and commercialization ecosystems. It is worth highlighting that one of the directions - Direction 10 - is specifically titled Strengthening Intellectual Potential.</w:t>
      </w:r>
    </w:p>
    <w:p w14:paraId="5D35A65D" w14:textId="77777777" w:rsidR="006514F5"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sz w:val="24"/>
          <w:szCs w:val="24"/>
        </w:rPr>
        <w:t xml:space="preserve">Another significant step in advancing science in Kazakhstan was the establishment of the National Council for Science and Technology under the President in 2023 that will collectively define the scientific priorities, evaluate the effectiveness of state policies in science and technology, and address other key issues related to national scientific development. Thus, during the first meeting of the Council in 2024, President of the country - K. K. Tokayev - emphasised the role of science and that during the 1990s about 40 000 scientists left the country (Khabarov, 2024). He also stated that he supports the idea of returning to Kazakhstan the scientists who are successfully working abroad and that a favorable environment is being created for them in the country. </w:t>
      </w:r>
    </w:p>
    <w:p w14:paraId="4FB37996" w14:textId="77777777" w:rsidR="006514F5"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sz w:val="24"/>
          <w:szCs w:val="24"/>
        </w:rPr>
        <w:t>In public speeches, the Minister of Science and Higher Education, Sayasat Nurbek, has also discussed ongoing efforts to encourage scholars to return to Kazakhstan. Referring to initiatives developed in collaboration with embassies, he stated: “Together with the embassies, we created a base; we identified 680 young and experienced scientists working in leading scientific institutes and universities. We are now working on their return” (Bakhyt, 2024).</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The Minister highlighted three ways of attracting the Kazakhstani scholars working abroad to return to the country: first option is the direct return, as in the case of Dos Sarbassov, who is currently working at Nazarbayev University, leading his own laboratory and a member of the National Council; the second way is to send our scholars to abroad to work and have internship there under our experienced scholars; the third way is to create conditions for our scientists abroad to provide lectures for our local scholars and scientists (</w:t>
      </w:r>
      <w:hyperlink r:id="rId11">
        <w:r>
          <w:rPr>
            <w:rFonts w:ascii="Times New Roman" w:eastAsia="Times New Roman" w:hAnsi="Times New Roman" w:cs="Times New Roman"/>
            <w:color w:val="1155CC"/>
            <w:sz w:val="24"/>
            <w:szCs w:val="24"/>
            <w:u w:val="single"/>
          </w:rPr>
          <w:t>Mironova, 2024)</w:t>
        </w:r>
      </w:hyperlink>
      <w:r>
        <w:rPr>
          <w:rFonts w:ascii="Times New Roman" w:eastAsia="Times New Roman" w:hAnsi="Times New Roman" w:cs="Times New Roman"/>
          <w:sz w:val="24"/>
          <w:szCs w:val="24"/>
        </w:rPr>
        <w:t xml:space="preserve">. </w:t>
      </w:r>
    </w:p>
    <w:p w14:paraId="189627AD" w14:textId="11C50DEA" w:rsidR="002836A6" w:rsidRPr="006514F5" w:rsidRDefault="00000000" w:rsidP="006514F5">
      <w:pPr>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Another big initiative in creating favorable conditions for the scientific community was the modernization of the Science Academy. The Academy has been awarded the status of the highest scientific organization. Also in 2024 a new Law on Science and Technological Policy was launched. The document considers the norms aimed at improving the model of science management and defines measures of social support for the Kazakhstani scientists. Starting from 2024, i</w:t>
      </w:r>
      <w:r>
        <w:rPr>
          <w:rFonts w:ascii="Times New Roman" w:eastAsia="Times New Roman" w:hAnsi="Times New Roman" w:cs="Times New Roman"/>
          <w:sz w:val="24"/>
          <w:szCs w:val="24"/>
        </w:rPr>
        <w:t>n order to enhance the research capability of universities and strengthen their collaboration with industries, the Ministry is actively working on establishing the Scientific and Academic Excellence Centers within 15 regional and 5 pedagogical universities (Higher Education Development National Center, n.d.). These universities receive substantial funding from the Kazakhstani government in order to establish research centers, launch scientific laboratories, train future scientists from among their students, and collaborate with industries to address regional environmental challenges.</w:t>
      </w:r>
    </w:p>
    <w:p w14:paraId="537CE519" w14:textId="77777777" w:rsidR="002836A6"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Literature Review and Conceptual Framework</w:t>
      </w:r>
    </w:p>
    <w:p w14:paraId="306B447B"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Conceptualizing Intellectual Migration</w:t>
      </w:r>
    </w:p>
    <w:p w14:paraId="4B840153"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Within the international community, the intellectual migration theme has been conducted since the mid-20th century, focusing on the movement of scholars and intellectuals, particularly from </w:t>
      </w:r>
      <w:r>
        <w:rPr>
          <w:rFonts w:ascii="Times New Roman" w:eastAsia="Times New Roman" w:hAnsi="Times New Roman" w:cs="Times New Roman"/>
          <w:sz w:val="24"/>
          <w:szCs w:val="24"/>
        </w:rPr>
        <w:lastRenderedPageBreak/>
        <w:t>Europe to the United States during the 1930s and 1940s (Li et al., 2015). This wave included numerous scientists and professionals whose contributions significantly advanced science and technology in the US, establishing it as a leading destination and major beneficiary of global brain drain. Originally, the term emphasized the involuntary nature of this migration, often involving highly accomplished individuals referred to as "refugee intellectuals".</w:t>
      </w:r>
    </w:p>
    <w:p w14:paraId="5E6AD20C" w14:textId="083099AC"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There are a variety of theoretical approaches and models of examining the topic of migration which were developed in isolation from each other, therefore, making it difficult to formulate one holistic theory of migration. This paper uses the Push and Pull Theory in order to conceptualize factors that stimulate intellectual migration. Push and pull factors were firstly introduced by Lee in 1966 as a Theory of Migration (Lee, 1966). The given theory has already been used by other scholars that studied the topic of brain drain (Mahroum, 2000; Kline, 2003; Parkins, 2010; Leitão et al., 2024). By the types of factors considered in the existing literature the following pushing and pulling factors have been outlined. </w:t>
      </w:r>
    </w:p>
    <w:p w14:paraId="310AA1EC" w14:textId="77777777" w:rsidR="006514F5" w:rsidRDefault="006514F5" w:rsidP="006514F5">
      <w:pPr>
        <w:spacing w:line="240" w:lineRule="auto"/>
        <w:jc w:val="both"/>
        <w:rPr>
          <w:rFonts w:ascii="Times New Roman" w:eastAsia="Times New Roman" w:hAnsi="Times New Roman" w:cs="Times New Roman"/>
          <w:b/>
          <w:bCs/>
          <w:i/>
          <w:iCs/>
          <w:sz w:val="24"/>
          <w:szCs w:val="24"/>
        </w:rPr>
      </w:pPr>
    </w:p>
    <w:p w14:paraId="6A1AE5D9"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Push Factors in Intellectual Migration </w:t>
      </w:r>
    </w:p>
    <w:p w14:paraId="077EAE23"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Pushing factors refer to the conditions in an individual's home country that compel them to leave. One of the primary drivers of brain drain is political instability, manifesting through corruption, weak institutions, and widespread distrust in governance (Levitin, 1997; Fetzer &amp; Millan, 2015; Malokani et al., 2022; Li et al., 2023; Vega-Muñoz et al., 2025). A vivid contemporary example is the Russian invasion of Ukraine, which triggered a mass exodus of skilled professionals. Within the first two months of the conflict, approximately 10% of Ukraine’s IT workforce - around 70,000 specialists - left the country (Azimzada, 2024).</w:t>
      </w:r>
    </w:p>
    <w:p w14:paraId="56594F51"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Corruption, as a political push factor, also exerts a significant influence. According to Li et al. (2023), corruption directly shapes individuals’ preferences for destinations offering more favorable public service delivery and fairer taxation. Indirectly, it undermines essential aspects of development such as economic growth, employment prospects, and financial systems, all of which contribute to the decision to emigrate.</w:t>
      </w:r>
    </w:p>
    <w:p w14:paraId="3A422C11"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Economic instability is another major factor influencing migration, particularly among professionals (Vega-Muñoz, 2024; Malokani et al., 2022). Several studies argue that both political and economic contexts in one’s home country determine the availability and quality of work, thus influencing migration decisions (Ha et al., 2016; Malokani et al., 2022). For instance, ongoing student emigration from Albania and Romania, driven by adverse economic and socio-political conditions, reflects a form of brain drain that hampers national development (Vega-Muñoz, 2025). Moreover, economic hardship contributes to psychological distress. Financial difficulties can lead to restlessness, interpersonal conflicts, and other stress-related conditions such as difficulties with regular payments and physical exhaustion (Asakura &amp; Murata, 2006; Duszczyk, 2019).</w:t>
      </w:r>
    </w:p>
    <w:p w14:paraId="7592ADF0"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Social factors such as poor quality of life, inadequate living conditions, family-related challenges, and general uncertainty are also widely acknowledged push factors (Parkins, 2010; de Haas, 2011). These conditions often create an environment in which individuals- particularly those with specialized skills- feel compelled to seek better opportunities abroad.</w:t>
      </w:r>
    </w:p>
    <w:p w14:paraId="6B0767E6" w14:textId="21F2AAE4"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Another critical element is the mismatch between a person's qualifications and the availability of suitable employment. Quinn and Rubb (2005) emphasize that migration often occurs when individuals cannot find jobs that match their skills and training. They highlight the importance of an “education-occupation” match, arguing that when highly educated individuals are </w:t>
      </w:r>
      <w:r>
        <w:rPr>
          <w:rFonts w:ascii="Times New Roman" w:eastAsia="Times New Roman" w:hAnsi="Times New Roman" w:cs="Times New Roman"/>
          <w:sz w:val="24"/>
          <w:szCs w:val="24"/>
        </w:rPr>
        <w:lastRenderedPageBreak/>
        <w:t>underemployed or working in unrelated fields, the likelihood of emigration increases significantly.</w:t>
      </w:r>
    </w:p>
    <w:p w14:paraId="4FD25207"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Pull Factors in Intellectual Migration </w:t>
      </w:r>
    </w:p>
    <w:p w14:paraId="17377FC2"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Pull factors refer to the conditions in destination countries that make migration appealing. While individual preferences vary, the most commonly cited attractions include improved economic opportunities, political freedom, institutional competitiveness, broader employment prospects, and higher quality of life (Meo et al. 2024; Docquier et al., 2007).</w:t>
      </w:r>
    </w:p>
    <w:p w14:paraId="30CECF1A"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Economic advantages remain the dominant pull factor, especially for skilled migrants from countries experiencing downturns or uneven development (Hoti, 2009; Aytaç &amp; Aydın, 2019; Kazlauskienė &amp; Rinkevičius, 2006; Ngoma &amp; Ismail, 2013). In addition to economic drivers, political institutions are increasingly recognized as significant pull factors. According to Arif (2022), educated migrants are more responsive to institutional conditions- including economic, political, and social dimensions- than their less-educated counterparts. Valei and Mamman (2022)  similarly identify political stability, democratic governance, and low levels of corruption as key institutional pull factors for migrants.</w:t>
      </w:r>
    </w:p>
    <w:p w14:paraId="158F1157"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In the context of academic migration, Khan (2021) identifies five major drivers of brain drain from Europe between 2000 and 2020: (1) more competitive salaries abroad, (2) the dominance of short-term contracts for early-career researchers, (3) non-transparent or biased recruitment processes, (4) favorable immigration policies in host countries, and (5) unintended consequences of internationalization strategies that incentivize long-term mobility.</w:t>
      </w:r>
    </w:p>
    <w:p w14:paraId="7BC87211" w14:textId="5B6D9236"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Access to advanced research infrastructure and technological resources is another powerful motivator for migration among highly skilled professionals (Michaelis, 1990; Vizi, 1993;</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Latova &amp; Savinkov, 2012; Ganguli, 2015). These structural advantages are further complemented by personal considerations such as family well-being, access to healthcare and education, social equity, and the broader quality of life (Bokayev et al., 2020; Ciorbagiu et al., 2020; Helliwell et al., 2018). As a result, migration decisions often represent not only professional strategies but also long-term lifestyle choices shaped by the intersection of personal goals and systemic conditions.</w:t>
      </w:r>
    </w:p>
    <w:p w14:paraId="53CCED63" w14:textId="77777777" w:rsidR="002836A6"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The Main Causes of Brain Drain </w:t>
      </w:r>
    </w:p>
    <w:p w14:paraId="77BBC880" w14:textId="005924D1" w:rsidR="002836A6"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significant causes that brain drain leads to is the economic issues of those countries that lose their qualified people ((Dodani &amp; LaPorte, 2005; Sen, 1973; Tessema, 2010). The effects of the economic consequences as a result of the intellectual migration are direct and measurable: the human capital level of the issuing country decreases because of the shortage of individuals with professional skills. Human capital refers to investing in individuals to enhance their efficiency, as learning organizations recognize the long-term value and diverse qualities people bring to future outcomes (Pasban and Nojedeh, 2016). In addition to that the issuing country loses in terms of national economy since the qualified people are those with competitive salaries and who contribute to the income tax.  This issue becomes even more significant if the issuing country finances the education of those people who will later emigrate and transfer the investments to another country. </w:t>
      </w:r>
    </w:p>
    <w:p w14:paraId="38B79AE3"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Brain Drain in the Kazakhstani Context </w:t>
      </w:r>
    </w:p>
    <w:p w14:paraId="76477E1E"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In the context of Kazakhstan, the topic of brain drain has been studied by a number of scholars (Bokayev et al., 2020; Bokayev 2023; Chekebayeva, 2021; Kaimoldiyev, 2021; Kuzhabekova et al., 2018; Narymbayeva et al., 2024). Motivations for migration from the country tend to be almost the same according to the scholars. As per the research conducted by Bokayev (2023), </w:t>
      </w:r>
      <w:r>
        <w:rPr>
          <w:rFonts w:ascii="Times New Roman" w:eastAsia="Times New Roman" w:hAnsi="Times New Roman" w:cs="Times New Roman"/>
          <w:sz w:val="24"/>
          <w:szCs w:val="24"/>
        </w:rPr>
        <w:lastRenderedPageBreak/>
        <w:t xml:space="preserve">one of the main external or pulling factors for migration of Kazakhstani professionals is the economic one. High salaries, a strong socio-economic environment in the destination country, and career opportunities are the most economically attractive factors that the Kazakhstani youth seek for. Another study by Bokayev et al. (2020) also illustrates the quality of life at the destination country and career opportunities as the important pulling factors among the Bolashak graduates aged 23 to 28 and 29 to 35 respectively. </w:t>
      </w:r>
    </w:p>
    <w:p w14:paraId="17611A6E"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In contrast to pulling factors, there are pushing factors that serve as a reason for the Kazakhstani professionals’ migration. Underestimation of skilled professionals and corruption are considered to be one of main internal motivations of people who desire to leave the country (Kapyshev, 2021). Kaimoldiyev (2021) also found out that the absence of relevant work in Kazakhstan and lack of demand in the professionals’ skills and knowledge acquired abroad because of poor governmental policies tend to be significant pushing reasons for migration. In addition to that, he states that “not all knowledge, competencies and skills applied in Kazakhstan are effective because of several reasons: bureaucracy, corruption and so on” (Kaimoldiyev, 2021, p. 43). The same conclusion was made by Chekebayeva (2021) who indicated the corruption, bureaucracy and weak public administration system as the main pushing reasons for Kazakhstani migrants. Beyond those, Chekebayeva (2021) highlighted the following internal factors such as “absence of prospects for self-realization and career, low level of country development, uncertain own future and future of the children, no improvement of healthcare and education system, high unemployment rate, law salaries level, lack of social guarantees, and violations of human rights” (p. 27). </w:t>
      </w:r>
    </w:p>
    <w:p w14:paraId="67BE6431"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Although there are considerable studies that covered the migration condition in the Kazakhstani context, they are not focused particularly on intellectual migration. A study of Lee and Kuzhabekova (2018) considered not the intellectual migration from Kazakhstan, but in a reverse direction, to Kazakhstan. The main internal reasons for relocating to Kazakhstan as a result of interviews with 24 international faculty members was the lack of employment opportunities and unsatisfactory work conditions at the home country. To the pulling factors, the authors related the competitive salary with social packages in the form of accommodation subsidies, education coverage for children, moving expenses and others. A personal interest of the participants - relocating to the “remote region” - along with the opportunity to build new educational programs and conduct research in the “breeding ground” were other external reasons for migrating to Kazakhstan (Lee and Kuzhabekova, 2018, p. 378). </w:t>
      </w:r>
    </w:p>
    <w:p w14:paraId="3AF62289" w14:textId="3C1E0BFB"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It is worth highlighting another study of Kuzhabekova et al. (2019) that focused on returning Kazakhstani scholars from study abroad. The authors found out that the returning scholars struggle to access local academic communities because of the barriers for early-career researchers and the dominance of senior academics who control funding distribution and influence administrative and policy decisions through informal networks. In addition to that they cannot interact with external scholars because of the limited funding that challenges participation in conferences. </w:t>
      </w:r>
    </w:p>
    <w:p w14:paraId="0F97C26E" w14:textId="77777777" w:rsidR="002836A6"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Methodology </w:t>
      </w:r>
    </w:p>
    <w:p w14:paraId="658AA5E4"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Research Design</w:t>
      </w:r>
    </w:p>
    <w:p w14:paraId="0BC7065A"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This study employs a qualitative research approach, focusing on interviews with Kazakhstani scholars and academic staff who moved abroad for work and subsequently  participated in the 100KZGALYM project. A qualitative approach was selected for its strength in capturing rich, contextualized narratives and meanings that cannot be easily quantified (Merriam &amp; Tisdell, 2016). The study is situated within an interpretivist paradigm, which acknowledges the socially constructed nature of reality and the importance of subjective experience.</w:t>
      </w:r>
    </w:p>
    <w:p w14:paraId="347F915F" w14:textId="293FB31C"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lastRenderedPageBreak/>
        <w:t>Rather than conducting new interviews for research purposes, this study is based on secondary analysis of self-generated, publicly available interviews. The interview data used were originally collected and published by the researcher as part of a broader public initiative and are now reanalyzed within a scholarly framework. This approach allows for a reflective investigation into the lived experiences, motivations, and identity construction of early-career Kazakhstani academics who have relocated internationally.</w:t>
      </w:r>
    </w:p>
    <w:p w14:paraId="3A030064"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Sampling Strategy and Participant Recruitment</w:t>
      </w:r>
    </w:p>
    <w:p w14:paraId="03D8E354"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This study employed purposive sampling to select interviews relevant to the research aims-specifically, those involving Kazakhstani scholars currently working abroad in academia or scientific research. The selected interviews had to be: a. conducted and publicly shared through the #100KZGALYM project; b. focused on academic career paths, motivations, and transnational experiences; c. accessible in full-text format for systematic analysis.</w:t>
      </w:r>
    </w:p>
    <w:p w14:paraId="479D6539" w14:textId="5A297777" w:rsidR="002836A6" w:rsidRP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Although snowball sampling and desktop research were part of the original 100KZGALYM outreach process, no additional recruitment or interviewing was conducted specifically for this study.</w:t>
      </w:r>
    </w:p>
    <w:p w14:paraId="7C49ABB3"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Data Collection</w:t>
      </w:r>
    </w:p>
    <w:p w14:paraId="7841D5F8"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The data for this study originate from the 100KZGALYM project. Since its launch, the project has featured more than 30 interviews, which were personally conducted by Dr. Yergaliyev and publicly disseminated via Facebook and Instagram under the hashtag #100KZGALYM. Each post typically includes a biographical profile, academic reflections, and participants’ messages to future scholars. These interviews serve as the primary dataset for this study.</w:t>
      </w:r>
    </w:p>
    <w:p w14:paraId="0F3509FE" w14:textId="79446C55" w:rsidR="002836A6" w:rsidRP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The original interviews included guiding questions such as: What advice would you give to young scientists in Kazakhstan? What three qualities should one develop to succeed in scientific work? What contribution do you believe you can make to the development of science in Kazakhstan at present? Which scientific trends and innovations from around the world do you think our country should pay attention to? What motivated you to study, work, and pursue research opportunities outside of Kazakhstan?</w:t>
      </w:r>
      <w:r w:rsidR="006514F5">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These questions shaped the analytical focus of the present research. </w:t>
      </w:r>
    </w:p>
    <w:p w14:paraId="656BEEBD"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Data Analysis</w:t>
      </w:r>
    </w:p>
    <w:p w14:paraId="4D0FC771"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Data were analyzed using the thematic analysis framework proposed by Braun and Clarke (2006), which involves six systematic steps: Familiarization with the data; Generating initial codes; Searching for themes; Reviewing themes; Defining and naming themes; Writing up the findings. </w:t>
      </w:r>
      <w:r>
        <w:rPr>
          <w:rFonts w:ascii="Times New Roman" w:eastAsia="Times New Roman" w:hAnsi="Times New Roman" w:cs="Times New Roman"/>
          <w:color w:val="1F1F1F"/>
          <w:sz w:val="24"/>
          <w:szCs w:val="24"/>
        </w:rPr>
        <w:t>Braun and Clarke’s six-phase framework is widely recognized as a foundational approach to thematic analysis and has been extensively applied across various disciplines, including health research, education, and the social sciences (Ahmed et al., 2025). The framework highlights the importance of researcher reflexivity and theoretical transparency in ensuring the rigor and credibility of qualitative research. Each phase systematically contributes to the generation of meaningful insights while enabling the researcher to remain closely engaged with the data throughout the analytical process.</w:t>
      </w:r>
    </w:p>
    <w:p w14:paraId="4F51631A" w14:textId="77777777" w:rsid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The analysis followed an inductive approach, where themes emerged from the data itself rather than being imposed by predefined categories. All interviews were coded manually using </w:t>
      </w:r>
      <w:r>
        <w:rPr>
          <w:rFonts w:ascii="Times New Roman" w:eastAsia="Times New Roman" w:hAnsi="Times New Roman" w:cs="Times New Roman"/>
          <w:sz w:val="24"/>
          <w:szCs w:val="24"/>
        </w:rPr>
        <w:lastRenderedPageBreak/>
        <w:t>Microsoft Word and Excel. The coding process was iterative, with ongoing refinement of themes and categories as patterns became clearer.</w:t>
      </w:r>
    </w:p>
    <w:p w14:paraId="38ABD269" w14:textId="01665ED9" w:rsidR="002836A6" w:rsidRPr="006514F5" w:rsidRDefault="00000000" w:rsidP="006514F5">
      <w:pPr>
        <w:spacing w:before="240" w:after="24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Quotes were extracted from the interviews and linked to emerging codes, which were then grouped into subthemes and overarching themes. The analysis focused on identifying key push factors (conditions in Kazakhstan that motivated emigration) and pull factors (attractions of academic life abroad), as articulated in participants' own words.</w:t>
      </w:r>
    </w:p>
    <w:p w14:paraId="385AA456"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Ethical Considerations</w:t>
      </w:r>
    </w:p>
    <w:p w14:paraId="6A909A4F"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While the data were already available in the public domain, the following ethical safeguards were observed: a. only interviews that were voluntarily shared by participants for public dissemination were included; b. no sensitive or identifying information beyond what was already publicly posted was analyzed or quoted without clear participant consent; c. anonymization was applied where participants had requested it or where quotes involved potentially sensitive content.</w:t>
      </w:r>
    </w:p>
    <w:p w14:paraId="3880EEF3"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Given the dual role of the researcher as both interviewer and analyst, reflexivity and transparency were maintained throughout the analytic process. A coding log, analytic memos, and an audit trail were kept to ensure dependability and confirmability. To strengthen the trustworthiness of the study, a comprehensive audit trail was maintained throughout the research process. This included preserving interview materials collected from Facebook and Instagram, documenting participant selection procedures, maintaining coding tables and theme development records, and keeping analytic memos that captured methodological decisions and emerging interpretations. The audit trail also included reflexive notes on the researcher’s assumptions and potential biases, allowing for greater transparency in how the findings were developed and interpreted over the course of the analysis.</w:t>
      </w:r>
    </w:p>
    <w:p w14:paraId="307682C4" w14:textId="71828DA5"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To support transferability, rich descriptions of participants’ academic contexts and experiences are provided in the Findings chapter.</w:t>
      </w:r>
    </w:p>
    <w:p w14:paraId="07BAC1DD" w14:textId="77777777" w:rsidR="006514F5"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Findings</w:t>
      </w:r>
    </w:p>
    <w:p w14:paraId="200E111E" w14:textId="77777777" w:rsidR="006514F5"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This chapter presents the main findings derived from a thematic analysis of interviews with Kazakhstani scholars working abroad, originally published through the 100KZGALYM public initiative. The data were analyzed inductively using Braun and Clarke’s (2006) six-phase thematic analysis. Codes were generated manually and grouped into themes and subthemes, allowing for an organic emergence of recurring patterns. The analytical focus was shaped around pushing factors (barriers and frustrations within Kazakhstan) and pulling factors (attractive features of academic life abroad), articulated in participants’ own words.</w:t>
      </w:r>
    </w:p>
    <w:p w14:paraId="211230EB" w14:textId="77777777" w:rsidR="006514F5"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Participants are referred to by anonymized identifiers (e.g., Participant 12) to protect their identities while maintaining narrative coherence. As the original compiler of the data, I approached these narratives with interpretive empathy and critical distance, aware of the curated nature of these publicly shared stories.</w:t>
      </w:r>
    </w:p>
    <w:p w14:paraId="6F818B88" w14:textId="3DE54EF0" w:rsidR="002836A6" w:rsidRPr="006514F5" w:rsidRDefault="00000000" w:rsidP="006514F5">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following sections present the study’s findings, organized into two overarching themes -  Pushing Factors and Pulling Factors -  each further subdivided into political, economic, social, and professional domains.</w:t>
      </w:r>
    </w:p>
    <w:p w14:paraId="5C23D180"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Demographic profile of participants </w:t>
      </w:r>
    </w:p>
    <w:p w14:paraId="4E30C751" w14:textId="516CF5F0"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The demographic data collected from public interviews revealed several key trends. As illustrated in Table 1, the sample consisted predominantly of male scholars (n = 20), while </w:t>
      </w:r>
      <w:r>
        <w:rPr>
          <w:rFonts w:ascii="Times New Roman" w:eastAsia="Times New Roman" w:hAnsi="Times New Roman" w:cs="Times New Roman"/>
          <w:sz w:val="24"/>
          <w:szCs w:val="24"/>
        </w:rPr>
        <w:lastRenderedPageBreak/>
        <w:t xml:space="preserve">female participants represented one-third of the sample (n = 10). In terms of international experience, half of the participants had lived abroad for 15 years or more, whereas only five participants had spent less than five years outside Kazakhstan. </w:t>
      </w:r>
    </w:p>
    <w:p w14:paraId="405B3AB4" w14:textId="77777777" w:rsidR="002836A6" w:rsidRDefault="00000000" w:rsidP="006514F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1</w:t>
      </w:r>
    </w:p>
    <w:p w14:paraId="06E7E1C9" w14:textId="77777777" w:rsidR="002836A6" w:rsidRDefault="00000000" w:rsidP="006514F5">
      <w:pPr>
        <w:spacing w:before="240" w:after="240" w:line="240" w:lineRule="auto"/>
        <w:ind w:right="60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Participants by Gender and Years Abroad </w:t>
      </w:r>
    </w:p>
    <w:tbl>
      <w:tblPr>
        <w:tblStyle w:val="a"/>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70"/>
        <w:gridCol w:w="1620"/>
        <w:gridCol w:w="1485"/>
        <w:gridCol w:w="1485"/>
        <w:gridCol w:w="1635"/>
        <w:gridCol w:w="1650"/>
      </w:tblGrid>
      <w:tr w:rsidR="002836A6" w14:paraId="0E621DC9" w14:textId="77777777">
        <w:trPr>
          <w:trHeight w:val="515"/>
        </w:trPr>
        <w:tc>
          <w:tcPr>
            <w:tcW w:w="1770" w:type="dxa"/>
            <w:tcBorders>
              <w:top w:val="nil"/>
              <w:left w:val="nil"/>
              <w:bottom w:val="nil"/>
              <w:right w:val="nil"/>
            </w:tcBorders>
            <w:tcMar>
              <w:top w:w="100" w:type="dxa"/>
              <w:left w:w="100" w:type="dxa"/>
              <w:bottom w:w="100" w:type="dxa"/>
              <w:right w:w="100" w:type="dxa"/>
            </w:tcMar>
          </w:tcPr>
          <w:p w14:paraId="08CDA00F"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Gender</w:t>
            </w:r>
          </w:p>
        </w:tc>
        <w:tc>
          <w:tcPr>
            <w:tcW w:w="1620" w:type="dxa"/>
            <w:tcBorders>
              <w:top w:val="nil"/>
              <w:left w:val="nil"/>
              <w:bottom w:val="nil"/>
              <w:right w:val="nil"/>
            </w:tcBorders>
            <w:tcMar>
              <w:top w:w="100" w:type="dxa"/>
              <w:left w:w="100" w:type="dxa"/>
              <w:bottom w:w="100" w:type="dxa"/>
              <w:right w:w="100" w:type="dxa"/>
            </w:tcMar>
          </w:tcPr>
          <w:p w14:paraId="5382103A"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&lt;5 Years</w:t>
            </w:r>
          </w:p>
        </w:tc>
        <w:tc>
          <w:tcPr>
            <w:tcW w:w="1485" w:type="dxa"/>
            <w:tcBorders>
              <w:top w:val="nil"/>
              <w:left w:val="nil"/>
              <w:bottom w:val="nil"/>
              <w:right w:val="nil"/>
            </w:tcBorders>
            <w:tcMar>
              <w:top w:w="100" w:type="dxa"/>
              <w:left w:w="100" w:type="dxa"/>
              <w:bottom w:w="100" w:type="dxa"/>
              <w:right w:w="100" w:type="dxa"/>
            </w:tcMar>
          </w:tcPr>
          <w:p w14:paraId="3FB5646D"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5–9 Years</w:t>
            </w:r>
          </w:p>
        </w:tc>
        <w:tc>
          <w:tcPr>
            <w:tcW w:w="1485" w:type="dxa"/>
            <w:tcBorders>
              <w:top w:val="nil"/>
              <w:left w:val="nil"/>
              <w:bottom w:val="nil"/>
              <w:right w:val="nil"/>
            </w:tcBorders>
            <w:tcMar>
              <w:top w:w="100" w:type="dxa"/>
              <w:left w:w="100" w:type="dxa"/>
              <w:bottom w:w="100" w:type="dxa"/>
              <w:right w:w="100" w:type="dxa"/>
            </w:tcMar>
          </w:tcPr>
          <w:p w14:paraId="2CDA7DE5"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10–14 Years</w:t>
            </w:r>
          </w:p>
        </w:tc>
        <w:tc>
          <w:tcPr>
            <w:tcW w:w="1635" w:type="dxa"/>
            <w:tcBorders>
              <w:top w:val="nil"/>
              <w:left w:val="nil"/>
              <w:bottom w:val="nil"/>
              <w:right w:val="nil"/>
            </w:tcBorders>
            <w:tcMar>
              <w:top w:w="100" w:type="dxa"/>
              <w:left w:w="100" w:type="dxa"/>
              <w:bottom w:w="100" w:type="dxa"/>
              <w:right w:w="100" w:type="dxa"/>
            </w:tcMar>
          </w:tcPr>
          <w:p w14:paraId="551C7AEE"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sdt>
              <w:sdtPr>
                <w:tag w:val="goog_rdk_2"/>
                <w:id w:val="769140721"/>
              </w:sdtPr>
              <w:sdtContent>
                <w:r>
                  <w:rPr>
                    <w:rFonts w:ascii="Gungsuh" w:eastAsia="Gungsuh" w:hAnsi="Gungsuh" w:cs="Gungsuh"/>
                    <w:b/>
                    <w:bCs/>
                    <w:sz w:val="24"/>
                    <w:szCs w:val="24"/>
                  </w:rPr>
                  <w:t>≥15 Years</w:t>
                </w:r>
              </w:sdtContent>
            </w:sdt>
          </w:p>
        </w:tc>
        <w:tc>
          <w:tcPr>
            <w:tcW w:w="1650" w:type="dxa"/>
            <w:tcBorders>
              <w:top w:val="nil"/>
              <w:left w:val="nil"/>
              <w:bottom w:val="nil"/>
              <w:right w:val="nil"/>
            </w:tcBorders>
            <w:tcMar>
              <w:top w:w="100" w:type="dxa"/>
              <w:left w:w="100" w:type="dxa"/>
              <w:bottom w:w="100" w:type="dxa"/>
              <w:right w:w="100" w:type="dxa"/>
            </w:tcMar>
          </w:tcPr>
          <w:p w14:paraId="40A4D3E7"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r>
      <w:tr w:rsidR="002836A6" w14:paraId="72B1A930" w14:textId="77777777">
        <w:trPr>
          <w:trHeight w:val="926"/>
        </w:trPr>
        <w:tc>
          <w:tcPr>
            <w:tcW w:w="1770" w:type="dxa"/>
            <w:tcBorders>
              <w:top w:val="nil"/>
              <w:left w:val="nil"/>
              <w:bottom w:val="nil"/>
              <w:right w:val="nil"/>
            </w:tcBorders>
            <w:tcMar>
              <w:top w:w="100" w:type="dxa"/>
              <w:left w:w="100" w:type="dxa"/>
              <w:bottom w:w="100" w:type="dxa"/>
              <w:right w:w="100" w:type="dxa"/>
            </w:tcMar>
          </w:tcPr>
          <w:p w14:paraId="651D6BD4"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 (n = 10)</w:t>
            </w:r>
          </w:p>
        </w:tc>
        <w:tc>
          <w:tcPr>
            <w:tcW w:w="1620" w:type="dxa"/>
            <w:tcBorders>
              <w:top w:val="nil"/>
              <w:left w:val="nil"/>
              <w:bottom w:val="nil"/>
              <w:right w:val="nil"/>
            </w:tcBorders>
            <w:tcMar>
              <w:top w:w="100" w:type="dxa"/>
              <w:left w:w="100" w:type="dxa"/>
              <w:bottom w:w="100" w:type="dxa"/>
              <w:right w:w="100" w:type="dxa"/>
            </w:tcMar>
          </w:tcPr>
          <w:p w14:paraId="34BE8C9E"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85" w:type="dxa"/>
            <w:tcBorders>
              <w:top w:val="nil"/>
              <w:left w:val="nil"/>
              <w:bottom w:val="nil"/>
              <w:right w:val="nil"/>
            </w:tcBorders>
            <w:tcMar>
              <w:top w:w="100" w:type="dxa"/>
              <w:left w:w="100" w:type="dxa"/>
              <w:bottom w:w="100" w:type="dxa"/>
              <w:right w:w="100" w:type="dxa"/>
            </w:tcMar>
          </w:tcPr>
          <w:p w14:paraId="0D2552C2"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85" w:type="dxa"/>
            <w:tcBorders>
              <w:top w:val="nil"/>
              <w:left w:val="nil"/>
              <w:bottom w:val="nil"/>
              <w:right w:val="nil"/>
            </w:tcBorders>
            <w:tcMar>
              <w:top w:w="100" w:type="dxa"/>
              <w:left w:w="100" w:type="dxa"/>
              <w:bottom w:w="100" w:type="dxa"/>
              <w:right w:w="100" w:type="dxa"/>
            </w:tcMar>
          </w:tcPr>
          <w:p w14:paraId="6BE48948"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5" w:type="dxa"/>
            <w:tcBorders>
              <w:top w:val="nil"/>
              <w:left w:val="nil"/>
              <w:bottom w:val="nil"/>
              <w:right w:val="nil"/>
            </w:tcBorders>
            <w:tcMar>
              <w:top w:w="100" w:type="dxa"/>
              <w:left w:w="100" w:type="dxa"/>
              <w:bottom w:w="100" w:type="dxa"/>
              <w:right w:w="100" w:type="dxa"/>
            </w:tcMar>
          </w:tcPr>
          <w:p w14:paraId="397380D3"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0" w:type="dxa"/>
            <w:tcBorders>
              <w:top w:val="nil"/>
              <w:left w:val="nil"/>
              <w:bottom w:val="nil"/>
              <w:right w:val="nil"/>
            </w:tcBorders>
            <w:tcMar>
              <w:top w:w="100" w:type="dxa"/>
              <w:left w:w="100" w:type="dxa"/>
              <w:bottom w:w="100" w:type="dxa"/>
              <w:right w:w="100" w:type="dxa"/>
            </w:tcMar>
          </w:tcPr>
          <w:p w14:paraId="1F21E743"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836A6" w14:paraId="6AC48502" w14:textId="77777777">
        <w:trPr>
          <w:trHeight w:val="1001"/>
        </w:trPr>
        <w:tc>
          <w:tcPr>
            <w:tcW w:w="1770" w:type="dxa"/>
            <w:tcBorders>
              <w:top w:val="nil"/>
              <w:left w:val="nil"/>
              <w:bottom w:val="nil"/>
              <w:right w:val="nil"/>
            </w:tcBorders>
            <w:tcMar>
              <w:top w:w="100" w:type="dxa"/>
              <w:left w:w="100" w:type="dxa"/>
              <w:bottom w:w="100" w:type="dxa"/>
              <w:right w:w="100" w:type="dxa"/>
            </w:tcMar>
          </w:tcPr>
          <w:p w14:paraId="24B48AF4"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Male </w:t>
            </w:r>
          </w:p>
          <w:p w14:paraId="3D437780"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20)</w:t>
            </w:r>
          </w:p>
        </w:tc>
        <w:tc>
          <w:tcPr>
            <w:tcW w:w="1620" w:type="dxa"/>
            <w:tcBorders>
              <w:top w:val="nil"/>
              <w:left w:val="nil"/>
              <w:bottom w:val="nil"/>
              <w:right w:val="nil"/>
            </w:tcBorders>
            <w:tcMar>
              <w:top w:w="100" w:type="dxa"/>
              <w:left w:w="100" w:type="dxa"/>
              <w:bottom w:w="100" w:type="dxa"/>
              <w:right w:w="100" w:type="dxa"/>
            </w:tcMar>
          </w:tcPr>
          <w:p w14:paraId="604C4091"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85" w:type="dxa"/>
            <w:tcBorders>
              <w:top w:val="nil"/>
              <w:left w:val="nil"/>
              <w:bottom w:val="nil"/>
              <w:right w:val="nil"/>
            </w:tcBorders>
            <w:tcMar>
              <w:top w:w="100" w:type="dxa"/>
              <w:left w:w="100" w:type="dxa"/>
              <w:bottom w:w="100" w:type="dxa"/>
              <w:right w:w="100" w:type="dxa"/>
            </w:tcMar>
          </w:tcPr>
          <w:p w14:paraId="6855D70F"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85" w:type="dxa"/>
            <w:tcBorders>
              <w:top w:val="nil"/>
              <w:left w:val="nil"/>
              <w:bottom w:val="nil"/>
              <w:right w:val="nil"/>
            </w:tcBorders>
            <w:tcMar>
              <w:top w:w="100" w:type="dxa"/>
              <w:left w:w="100" w:type="dxa"/>
              <w:bottom w:w="100" w:type="dxa"/>
              <w:right w:w="100" w:type="dxa"/>
            </w:tcMar>
          </w:tcPr>
          <w:p w14:paraId="4028593A"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35" w:type="dxa"/>
            <w:tcBorders>
              <w:top w:val="nil"/>
              <w:left w:val="nil"/>
              <w:bottom w:val="nil"/>
              <w:right w:val="nil"/>
            </w:tcBorders>
            <w:tcMar>
              <w:top w:w="100" w:type="dxa"/>
              <w:left w:w="100" w:type="dxa"/>
              <w:bottom w:w="100" w:type="dxa"/>
              <w:right w:w="100" w:type="dxa"/>
            </w:tcMar>
          </w:tcPr>
          <w:p w14:paraId="66F3ECCC"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50" w:type="dxa"/>
            <w:tcBorders>
              <w:top w:val="nil"/>
              <w:left w:val="nil"/>
              <w:bottom w:val="nil"/>
              <w:right w:val="nil"/>
            </w:tcBorders>
            <w:tcMar>
              <w:top w:w="100" w:type="dxa"/>
              <w:left w:w="100" w:type="dxa"/>
              <w:bottom w:w="100" w:type="dxa"/>
              <w:right w:w="100" w:type="dxa"/>
            </w:tcMar>
          </w:tcPr>
          <w:p w14:paraId="36D02913"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2836A6" w14:paraId="6C0C1975" w14:textId="77777777">
        <w:trPr>
          <w:trHeight w:val="515"/>
        </w:trPr>
        <w:tc>
          <w:tcPr>
            <w:tcW w:w="1770" w:type="dxa"/>
            <w:tcBorders>
              <w:top w:val="nil"/>
              <w:left w:val="nil"/>
              <w:bottom w:val="nil"/>
              <w:right w:val="nil"/>
            </w:tcBorders>
            <w:tcMar>
              <w:top w:w="100" w:type="dxa"/>
              <w:left w:w="100" w:type="dxa"/>
              <w:bottom w:w="100" w:type="dxa"/>
              <w:right w:w="100" w:type="dxa"/>
            </w:tcMar>
          </w:tcPr>
          <w:p w14:paraId="102F8608"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w:t>
            </w:r>
          </w:p>
          <w:p w14:paraId="0A358E64"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30)</w:t>
            </w:r>
          </w:p>
        </w:tc>
        <w:tc>
          <w:tcPr>
            <w:tcW w:w="1620" w:type="dxa"/>
            <w:tcBorders>
              <w:top w:val="nil"/>
              <w:left w:val="nil"/>
              <w:bottom w:val="nil"/>
              <w:right w:val="nil"/>
            </w:tcBorders>
            <w:tcMar>
              <w:top w:w="100" w:type="dxa"/>
              <w:left w:w="100" w:type="dxa"/>
              <w:bottom w:w="100" w:type="dxa"/>
              <w:right w:w="100" w:type="dxa"/>
            </w:tcMar>
          </w:tcPr>
          <w:p w14:paraId="43A44F9F"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85" w:type="dxa"/>
            <w:tcBorders>
              <w:top w:val="nil"/>
              <w:left w:val="nil"/>
              <w:bottom w:val="nil"/>
              <w:right w:val="nil"/>
            </w:tcBorders>
            <w:tcMar>
              <w:top w:w="100" w:type="dxa"/>
              <w:left w:w="100" w:type="dxa"/>
              <w:bottom w:w="100" w:type="dxa"/>
              <w:right w:w="100" w:type="dxa"/>
            </w:tcMar>
          </w:tcPr>
          <w:p w14:paraId="118F5092"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85" w:type="dxa"/>
            <w:tcBorders>
              <w:top w:val="nil"/>
              <w:left w:val="nil"/>
              <w:bottom w:val="nil"/>
              <w:right w:val="nil"/>
            </w:tcBorders>
            <w:tcMar>
              <w:top w:w="100" w:type="dxa"/>
              <w:left w:w="100" w:type="dxa"/>
              <w:bottom w:w="100" w:type="dxa"/>
              <w:right w:w="100" w:type="dxa"/>
            </w:tcMar>
          </w:tcPr>
          <w:p w14:paraId="4212A14B"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35" w:type="dxa"/>
            <w:tcBorders>
              <w:top w:val="nil"/>
              <w:left w:val="nil"/>
              <w:bottom w:val="nil"/>
              <w:right w:val="nil"/>
            </w:tcBorders>
            <w:tcMar>
              <w:top w:w="100" w:type="dxa"/>
              <w:left w:w="100" w:type="dxa"/>
              <w:bottom w:w="100" w:type="dxa"/>
              <w:right w:w="100" w:type="dxa"/>
            </w:tcMar>
          </w:tcPr>
          <w:p w14:paraId="5FC2932F"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50" w:type="dxa"/>
            <w:tcBorders>
              <w:top w:val="nil"/>
              <w:left w:val="nil"/>
              <w:bottom w:val="nil"/>
              <w:right w:val="nil"/>
            </w:tcBorders>
            <w:tcMar>
              <w:top w:w="100" w:type="dxa"/>
              <w:left w:w="100" w:type="dxa"/>
              <w:bottom w:w="100" w:type="dxa"/>
              <w:right w:w="100" w:type="dxa"/>
            </w:tcMar>
          </w:tcPr>
          <w:p w14:paraId="46956337" w14:textId="77777777" w:rsidR="002836A6" w:rsidRDefault="00000000" w:rsidP="006514F5">
            <w:pPr>
              <w:spacing w:after="0" w:line="240" w:lineRule="auto"/>
              <w:ind w:right="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14:paraId="724FBA22" w14:textId="77777777" w:rsidR="006514F5" w:rsidRDefault="006514F5" w:rsidP="006514F5">
      <w:pPr>
        <w:spacing w:after="0" w:line="240" w:lineRule="auto"/>
        <w:ind w:firstLine="720"/>
        <w:jc w:val="both"/>
        <w:rPr>
          <w:rFonts w:ascii="Times New Roman" w:eastAsia="Times New Roman" w:hAnsi="Times New Roman" w:cs="Times New Roman"/>
          <w:i/>
          <w:iCs/>
          <w:sz w:val="24"/>
          <w:szCs w:val="24"/>
        </w:rPr>
      </w:pPr>
    </w:p>
    <w:p w14:paraId="65F9F63B" w14:textId="6529091E"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given in Table 2, most participants resided in Europe (n = 13) and the United States (n = 11), while smaller numbers lived in Asia (n = 4) and Australia (n = 1). Regarding return intentions, only one participant had returned to Kazakhstan and another planned to return, whereas the overwhelming majority (n = 28) remained abroad. </w:t>
      </w:r>
    </w:p>
    <w:p w14:paraId="010DB3E9" w14:textId="77777777" w:rsidR="006514F5" w:rsidRDefault="006514F5" w:rsidP="006514F5">
      <w:pPr>
        <w:spacing w:after="0" w:line="240" w:lineRule="auto"/>
        <w:jc w:val="both"/>
        <w:rPr>
          <w:rFonts w:ascii="Times New Roman" w:eastAsia="Times New Roman" w:hAnsi="Times New Roman" w:cs="Times New Roman"/>
          <w:b/>
          <w:bCs/>
          <w:sz w:val="24"/>
          <w:szCs w:val="24"/>
        </w:rPr>
      </w:pPr>
    </w:p>
    <w:p w14:paraId="4168127F" w14:textId="77A49C50" w:rsidR="002836A6" w:rsidRDefault="00000000" w:rsidP="006514F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2</w:t>
      </w:r>
    </w:p>
    <w:p w14:paraId="0853439D" w14:textId="77777777" w:rsidR="006514F5" w:rsidRDefault="006514F5" w:rsidP="006514F5">
      <w:pPr>
        <w:spacing w:after="0" w:line="240" w:lineRule="auto"/>
        <w:jc w:val="both"/>
        <w:rPr>
          <w:rFonts w:ascii="Times New Roman" w:eastAsia="Times New Roman" w:hAnsi="Times New Roman" w:cs="Times New Roman"/>
          <w:i/>
          <w:iCs/>
          <w:sz w:val="24"/>
          <w:szCs w:val="24"/>
        </w:rPr>
      </w:pPr>
    </w:p>
    <w:p w14:paraId="509A5C8A" w14:textId="05BB951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Participants by Gender and Region of Residence</w:t>
      </w:r>
      <w:r>
        <w:rPr>
          <w:rFonts w:ascii="Times New Roman" w:eastAsia="Times New Roman" w:hAnsi="Times New Roman" w:cs="Times New Roman"/>
          <w:sz w:val="24"/>
          <w:szCs w:val="24"/>
        </w:rPr>
        <w:t xml:space="preserve"> </w:t>
      </w:r>
    </w:p>
    <w:tbl>
      <w:tblPr>
        <w:tblStyle w:val="a0"/>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70"/>
        <w:gridCol w:w="1245"/>
        <w:gridCol w:w="1650"/>
        <w:gridCol w:w="1620"/>
        <w:gridCol w:w="1590"/>
        <w:gridCol w:w="1275"/>
      </w:tblGrid>
      <w:tr w:rsidR="002836A6" w14:paraId="3E5008D4" w14:textId="77777777">
        <w:trPr>
          <w:trHeight w:val="515"/>
        </w:trPr>
        <w:tc>
          <w:tcPr>
            <w:tcW w:w="1770" w:type="dxa"/>
            <w:tcBorders>
              <w:top w:val="nil"/>
              <w:left w:val="nil"/>
              <w:bottom w:val="nil"/>
              <w:right w:val="nil"/>
            </w:tcBorders>
            <w:tcMar>
              <w:top w:w="100" w:type="dxa"/>
              <w:left w:w="100" w:type="dxa"/>
              <w:bottom w:w="100" w:type="dxa"/>
              <w:right w:w="100" w:type="dxa"/>
            </w:tcMar>
          </w:tcPr>
          <w:p w14:paraId="4CDD0222"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Gender</w:t>
            </w:r>
          </w:p>
        </w:tc>
        <w:tc>
          <w:tcPr>
            <w:tcW w:w="1245" w:type="dxa"/>
            <w:tcBorders>
              <w:top w:val="nil"/>
              <w:left w:val="nil"/>
              <w:bottom w:val="nil"/>
              <w:right w:val="nil"/>
            </w:tcBorders>
            <w:tcMar>
              <w:top w:w="100" w:type="dxa"/>
              <w:left w:w="100" w:type="dxa"/>
              <w:bottom w:w="100" w:type="dxa"/>
              <w:right w:w="100" w:type="dxa"/>
            </w:tcMar>
          </w:tcPr>
          <w:p w14:paraId="55A7B0AF"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Asia</w:t>
            </w:r>
          </w:p>
        </w:tc>
        <w:tc>
          <w:tcPr>
            <w:tcW w:w="1650" w:type="dxa"/>
            <w:tcBorders>
              <w:top w:val="nil"/>
              <w:left w:val="nil"/>
              <w:bottom w:val="nil"/>
              <w:right w:val="nil"/>
            </w:tcBorders>
            <w:tcMar>
              <w:top w:w="100" w:type="dxa"/>
              <w:left w:w="100" w:type="dxa"/>
              <w:bottom w:w="100" w:type="dxa"/>
              <w:right w:w="100" w:type="dxa"/>
            </w:tcMar>
          </w:tcPr>
          <w:p w14:paraId="1D321DB7"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Europe</w:t>
            </w:r>
          </w:p>
        </w:tc>
        <w:tc>
          <w:tcPr>
            <w:tcW w:w="1620" w:type="dxa"/>
            <w:tcBorders>
              <w:top w:val="nil"/>
              <w:left w:val="nil"/>
              <w:bottom w:val="nil"/>
              <w:right w:val="nil"/>
            </w:tcBorders>
            <w:tcMar>
              <w:top w:w="100" w:type="dxa"/>
              <w:left w:w="100" w:type="dxa"/>
              <w:bottom w:w="100" w:type="dxa"/>
              <w:right w:w="100" w:type="dxa"/>
            </w:tcMar>
          </w:tcPr>
          <w:p w14:paraId="26AABDCA"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United States</w:t>
            </w:r>
          </w:p>
        </w:tc>
        <w:tc>
          <w:tcPr>
            <w:tcW w:w="1590" w:type="dxa"/>
            <w:tcBorders>
              <w:top w:val="nil"/>
              <w:left w:val="nil"/>
              <w:bottom w:val="nil"/>
              <w:right w:val="nil"/>
            </w:tcBorders>
            <w:tcMar>
              <w:top w:w="100" w:type="dxa"/>
              <w:left w:w="100" w:type="dxa"/>
              <w:bottom w:w="100" w:type="dxa"/>
              <w:right w:w="100" w:type="dxa"/>
            </w:tcMar>
          </w:tcPr>
          <w:p w14:paraId="7F3FACB8"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w:t>
            </w:r>
          </w:p>
        </w:tc>
        <w:tc>
          <w:tcPr>
            <w:tcW w:w="1275" w:type="dxa"/>
            <w:tcBorders>
              <w:top w:val="nil"/>
              <w:left w:val="nil"/>
              <w:bottom w:val="nil"/>
              <w:right w:val="nil"/>
            </w:tcBorders>
            <w:tcMar>
              <w:top w:w="100" w:type="dxa"/>
              <w:left w:w="100" w:type="dxa"/>
              <w:bottom w:w="100" w:type="dxa"/>
              <w:right w:w="100" w:type="dxa"/>
            </w:tcMar>
          </w:tcPr>
          <w:p w14:paraId="48D213D7"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r>
      <w:tr w:rsidR="002836A6" w14:paraId="08533AB3" w14:textId="77777777">
        <w:trPr>
          <w:trHeight w:val="515"/>
        </w:trPr>
        <w:tc>
          <w:tcPr>
            <w:tcW w:w="1770" w:type="dxa"/>
            <w:tcBorders>
              <w:top w:val="nil"/>
              <w:left w:val="nil"/>
              <w:bottom w:val="nil"/>
              <w:right w:val="nil"/>
            </w:tcBorders>
            <w:tcMar>
              <w:top w:w="100" w:type="dxa"/>
              <w:left w:w="100" w:type="dxa"/>
              <w:bottom w:w="100" w:type="dxa"/>
              <w:right w:w="100" w:type="dxa"/>
            </w:tcMar>
          </w:tcPr>
          <w:p w14:paraId="1F6F922C"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 (n = 10)</w:t>
            </w:r>
          </w:p>
        </w:tc>
        <w:tc>
          <w:tcPr>
            <w:tcW w:w="1245" w:type="dxa"/>
            <w:tcBorders>
              <w:top w:val="nil"/>
              <w:left w:val="nil"/>
              <w:bottom w:val="nil"/>
              <w:right w:val="nil"/>
            </w:tcBorders>
            <w:tcMar>
              <w:top w:w="100" w:type="dxa"/>
              <w:left w:w="100" w:type="dxa"/>
              <w:bottom w:w="100" w:type="dxa"/>
              <w:right w:w="100" w:type="dxa"/>
            </w:tcMar>
          </w:tcPr>
          <w:p w14:paraId="16475DB5"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50" w:type="dxa"/>
            <w:tcBorders>
              <w:top w:val="nil"/>
              <w:left w:val="nil"/>
              <w:bottom w:val="nil"/>
              <w:right w:val="nil"/>
            </w:tcBorders>
            <w:tcMar>
              <w:top w:w="100" w:type="dxa"/>
              <w:left w:w="100" w:type="dxa"/>
              <w:bottom w:w="100" w:type="dxa"/>
              <w:right w:w="100" w:type="dxa"/>
            </w:tcMar>
          </w:tcPr>
          <w:p w14:paraId="4AE29350"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20" w:type="dxa"/>
            <w:tcBorders>
              <w:top w:val="nil"/>
              <w:left w:val="nil"/>
              <w:bottom w:val="nil"/>
              <w:right w:val="nil"/>
            </w:tcBorders>
            <w:tcMar>
              <w:top w:w="100" w:type="dxa"/>
              <w:left w:w="100" w:type="dxa"/>
              <w:bottom w:w="100" w:type="dxa"/>
              <w:right w:w="100" w:type="dxa"/>
            </w:tcMar>
          </w:tcPr>
          <w:p w14:paraId="713A447E"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90" w:type="dxa"/>
            <w:tcBorders>
              <w:top w:val="nil"/>
              <w:left w:val="nil"/>
              <w:bottom w:val="nil"/>
              <w:right w:val="nil"/>
            </w:tcBorders>
            <w:tcMar>
              <w:top w:w="100" w:type="dxa"/>
              <w:left w:w="100" w:type="dxa"/>
              <w:bottom w:w="100" w:type="dxa"/>
              <w:right w:w="100" w:type="dxa"/>
            </w:tcMar>
          </w:tcPr>
          <w:p w14:paraId="63628D35"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nil"/>
              <w:left w:val="nil"/>
              <w:bottom w:val="nil"/>
              <w:right w:val="nil"/>
            </w:tcBorders>
            <w:tcMar>
              <w:top w:w="100" w:type="dxa"/>
              <w:left w:w="100" w:type="dxa"/>
              <w:bottom w:w="100" w:type="dxa"/>
              <w:right w:w="100" w:type="dxa"/>
            </w:tcMar>
          </w:tcPr>
          <w:p w14:paraId="56D018C6"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836A6" w14:paraId="22D43797" w14:textId="77777777">
        <w:trPr>
          <w:trHeight w:val="515"/>
        </w:trPr>
        <w:tc>
          <w:tcPr>
            <w:tcW w:w="1770" w:type="dxa"/>
            <w:tcBorders>
              <w:top w:val="nil"/>
              <w:left w:val="nil"/>
              <w:bottom w:val="nil"/>
              <w:right w:val="nil"/>
            </w:tcBorders>
            <w:tcMar>
              <w:top w:w="100" w:type="dxa"/>
              <w:left w:w="100" w:type="dxa"/>
              <w:bottom w:w="100" w:type="dxa"/>
              <w:right w:w="100" w:type="dxa"/>
            </w:tcMar>
          </w:tcPr>
          <w:p w14:paraId="7BFFA58A"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 (n = 20)</w:t>
            </w:r>
          </w:p>
        </w:tc>
        <w:tc>
          <w:tcPr>
            <w:tcW w:w="1245" w:type="dxa"/>
            <w:tcBorders>
              <w:top w:val="nil"/>
              <w:left w:val="nil"/>
              <w:bottom w:val="nil"/>
              <w:right w:val="nil"/>
            </w:tcBorders>
            <w:tcMar>
              <w:top w:w="100" w:type="dxa"/>
              <w:left w:w="100" w:type="dxa"/>
              <w:bottom w:w="100" w:type="dxa"/>
              <w:right w:w="100" w:type="dxa"/>
            </w:tcMar>
          </w:tcPr>
          <w:p w14:paraId="197E8809"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50" w:type="dxa"/>
            <w:tcBorders>
              <w:top w:val="nil"/>
              <w:left w:val="nil"/>
              <w:bottom w:val="nil"/>
              <w:right w:val="nil"/>
            </w:tcBorders>
            <w:tcMar>
              <w:top w:w="100" w:type="dxa"/>
              <w:left w:w="100" w:type="dxa"/>
              <w:bottom w:w="100" w:type="dxa"/>
              <w:right w:w="100" w:type="dxa"/>
            </w:tcMar>
          </w:tcPr>
          <w:p w14:paraId="26358023"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20" w:type="dxa"/>
            <w:tcBorders>
              <w:top w:val="nil"/>
              <w:left w:val="nil"/>
              <w:bottom w:val="nil"/>
              <w:right w:val="nil"/>
            </w:tcBorders>
            <w:tcMar>
              <w:top w:w="100" w:type="dxa"/>
              <w:left w:w="100" w:type="dxa"/>
              <w:bottom w:w="100" w:type="dxa"/>
              <w:right w:w="100" w:type="dxa"/>
            </w:tcMar>
          </w:tcPr>
          <w:p w14:paraId="6D818166"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90" w:type="dxa"/>
            <w:tcBorders>
              <w:top w:val="nil"/>
              <w:left w:val="nil"/>
              <w:bottom w:val="nil"/>
              <w:right w:val="nil"/>
            </w:tcBorders>
            <w:tcMar>
              <w:top w:w="100" w:type="dxa"/>
              <w:left w:w="100" w:type="dxa"/>
              <w:bottom w:w="100" w:type="dxa"/>
              <w:right w:w="100" w:type="dxa"/>
            </w:tcMar>
          </w:tcPr>
          <w:p w14:paraId="1C4E1939"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nil"/>
              <w:left w:val="nil"/>
              <w:bottom w:val="nil"/>
              <w:right w:val="nil"/>
            </w:tcBorders>
            <w:tcMar>
              <w:top w:w="100" w:type="dxa"/>
              <w:left w:w="100" w:type="dxa"/>
              <w:bottom w:w="100" w:type="dxa"/>
              <w:right w:w="100" w:type="dxa"/>
            </w:tcMar>
          </w:tcPr>
          <w:p w14:paraId="7B2A5A39"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2836A6" w14:paraId="284C1E21" w14:textId="77777777">
        <w:trPr>
          <w:trHeight w:val="515"/>
        </w:trPr>
        <w:tc>
          <w:tcPr>
            <w:tcW w:w="1770" w:type="dxa"/>
            <w:tcBorders>
              <w:top w:val="nil"/>
              <w:left w:val="nil"/>
              <w:bottom w:val="nil"/>
              <w:right w:val="nil"/>
            </w:tcBorders>
            <w:tcMar>
              <w:top w:w="100" w:type="dxa"/>
              <w:left w:w="100" w:type="dxa"/>
              <w:bottom w:w="100" w:type="dxa"/>
              <w:right w:w="100" w:type="dxa"/>
            </w:tcMar>
          </w:tcPr>
          <w:p w14:paraId="42657180"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 (N = 30)</w:t>
            </w:r>
          </w:p>
        </w:tc>
        <w:tc>
          <w:tcPr>
            <w:tcW w:w="1245" w:type="dxa"/>
            <w:tcBorders>
              <w:top w:val="nil"/>
              <w:left w:val="nil"/>
              <w:bottom w:val="nil"/>
              <w:right w:val="nil"/>
            </w:tcBorders>
            <w:tcMar>
              <w:top w:w="100" w:type="dxa"/>
              <w:left w:w="100" w:type="dxa"/>
              <w:bottom w:w="100" w:type="dxa"/>
              <w:right w:w="100" w:type="dxa"/>
            </w:tcMar>
          </w:tcPr>
          <w:p w14:paraId="48C00694"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50" w:type="dxa"/>
            <w:tcBorders>
              <w:top w:val="nil"/>
              <w:left w:val="nil"/>
              <w:bottom w:val="nil"/>
              <w:right w:val="nil"/>
            </w:tcBorders>
            <w:tcMar>
              <w:top w:w="100" w:type="dxa"/>
              <w:left w:w="100" w:type="dxa"/>
              <w:bottom w:w="100" w:type="dxa"/>
              <w:right w:w="100" w:type="dxa"/>
            </w:tcMar>
          </w:tcPr>
          <w:p w14:paraId="09C935C2"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620" w:type="dxa"/>
            <w:tcBorders>
              <w:top w:val="nil"/>
              <w:left w:val="nil"/>
              <w:bottom w:val="nil"/>
              <w:right w:val="nil"/>
            </w:tcBorders>
            <w:tcMar>
              <w:top w:w="100" w:type="dxa"/>
              <w:left w:w="100" w:type="dxa"/>
              <w:bottom w:w="100" w:type="dxa"/>
              <w:right w:w="100" w:type="dxa"/>
            </w:tcMar>
          </w:tcPr>
          <w:p w14:paraId="07200CBA"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90" w:type="dxa"/>
            <w:tcBorders>
              <w:top w:val="nil"/>
              <w:left w:val="nil"/>
              <w:bottom w:val="nil"/>
              <w:right w:val="nil"/>
            </w:tcBorders>
            <w:tcMar>
              <w:top w:w="100" w:type="dxa"/>
              <w:left w:w="100" w:type="dxa"/>
              <w:bottom w:w="100" w:type="dxa"/>
              <w:right w:w="100" w:type="dxa"/>
            </w:tcMar>
          </w:tcPr>
          <w:p w14:paraId="7394E65A"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Borders>
              <w:top w:val="nil"/>
              <w:left w:val="nil"/>
              <w:bottom w:val="nil"/>
              <w:right w:val="nil"/>
            </w:tcBorders>
            <w:tcMar>
              <w:top w:w="100" w:type="dxa"/>
              <w:left w:w="100" w:type="dxa"/>
              <w:bottom w:w="100" w:type="dxa"/>
              <w:right w:w="100" w:type="dxa"/>
            </w:tcMar>
          </w:tcPr>
          <w:p w14:paraId="32560009"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bl>
    <w:p w14:paraId="0B2CAF0F" w14:textId="7D559C1B" w:rsidR="002836A6" w:rsidRDefault="00000000" w:rsidP="006514F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majority of participants reported upward career progression (n = 24), indicating advancement in their professional positions following international mobility. In contrast, two participants experienced horizontal career transitions, and four reported a change in professional direction. Notably, none of the participants described downward career movement (Table 3). </w:t>
      </w:r>
    </w:p>
    <w:p w14:paraId="4C448879" w14:textId="7735D2B9" w:rsidR="002836A6" w:rsidRDefault="00000000" w:rsidP="006514F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3</w:t>
      </w:r>
    </w:p>
    <w:p w14:paraId="66E1F94B" w14:textId="77777777" w:rsidR="006514F5" w:rsidRDefault="006514F5" w:rsidP="006514F5">
      <w:pPr>
        <w:spacing w:after="0" w:line="240" w:lineRule="auto"/>
        <w:jc w:val="both"/>
        <w:rPr>
          <w:rFonts w:ascii="Times New Roman" w:eastAsia="Times New Roman" w:hAnsi="Times New Roman" w:cs="Times New Roman"/>
          <w:b/>
          <w:bCs/>
          <w:sz w:val="24"/>
          <w:szCs w:val="24"/>
        </w:rPr>
      </w:pPr>
    </w:p>
    <w:p w14:paraId="7C34625E"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Participants by Gender and Career Trajectory</w:t>
      </w:r>
      <w:r>
        <w:rPr>
          <w:rFonts w:ascii="Times New Roman" w:eastAsia="Times New Roman" w:hAnsi="Times New Roman" w:cs="Times New Roman"/>
          <w:sz w:val="24"/>
          <w:szCs w:val="24"/>
        </w:rPr>
        <w:t xml:space="preserve"> </w:t>
      </w:r>
    </w:p>
    <w:tbl>
      <w:tblPr>
        <w:tblStyle w:val="a1"/>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00"/>
        <w:gridCol w:w="1635"/>
        <w:gridCol w:w="1605"/>
        <w:gridCol w:w="1755"/>
        <w:gridCol w:w="1440"/>
        <w:gridCol w:w="1530"/>
      </w:tblGrid>
      <w:tr w:rsidR="002836A6" w14:paraId="75E0AD87" w14:textId="77777777">
        <w:trPr>
          <w:trHeight w:val="800"/>
        </w:trPr>
        <w:tc>
          <w:tcPr>
            <w:tcW w:w="1800" w:type="dxa"/>
            <w:tcBorders>
              <w:top w:val="nil"/>
              <w:left w:val="nil"/>
              <w:bottom w:val="nil"/>
              <w:right w:val="nil"/>
            </w:tcBorders>
            <w:tcMar>
              <w:top w:w="100" w:type="dxa"/>
              <w:left w:w="100" w:type="dxa"/>
              <w:bottom w:w="100" w:type="dxa"/>
              <w:right w:w="100" w:type="dxa"/>
            </w:tcMar>
          </w:tcPr>
          <w:p w14:paraId="00AEBD3E"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Gender</w:t>
            </w:r>
          </w:p>
        </w:tc>
        <w:tc>
          <w:tcPr>
            <w:tcW w:w="1635" w:type="dxa"/>
            <w:tcBorders>
              <w:top w:val="nil"/>
              <w:left w:val="nil"/>
              <w:bottom w:val="nil"/>
              <w:right w:val="nil"/>
            </w:tcBorders>
            <w:tcMar>
              <w:top w:w="100" w:type="dxa"/>
              <w:left w:w="100" w:type="dxa"/>
              <w:bottom w:w="100" w:type="dxa"/>
              <w:right w:w="100" w:type="dxa"/>
            </w:tcMar>
          </w:tcPr>
          <w:p w14:paraId="4A9EA833"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Returned to Kazakhstan</w:t>
            </w:r>
          </w:p>
        </w:tc>
        <w:tc>
          <w:tcPr>
            <w:tcW w:w="1605" w:type="dxa"/>
            <w:tcBorders>
              <w:top w:val="nil"/>
              <w:left w:val="nil"/>
              <w:bottom w:val="nil"/>
              <w:right w:val="nil"/>
            </w:tcBorders>
            <w:tcMar>
              <w:top w:w="100" w:type="dxa"/>
              <w:left w:w="100" w:type="dxa"/>
              <w:bottom w:w="100" w:type="dxa"/>
              <w:right w:w="100" w:type="dxa"/>
            </w:tcMar>
          </w:tcPr>
          <w:p w14:paraId="43A77A9B"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Change of Trajectory</w:t>
            </w:r>
          </w:p>
        </w:tc>
        <w:tc>
          <w:tcPr>
            <w:tcW w:w="1755" w:type="dxa"/>
            <w:tcBorders>
              <w:top w:val="nil"/>
              <w:left w:val="nil"/>
              <w:bottom w:val="nil"/>
              <w:right w:val="nil"/>
            </w:tcBorders>
            <w:tcMar>
              <w:top w:w="100" w:type="dxa"/>
              <w:left w:w="100" w:type="dxa"/>
              <w:bottom w:w="100" w:type="dxa"/>
              <w:right w:w="100" w:type="dxa"/>
            </w:tcMar>
          </w:tcPr>
          <w:p w14:paraId="0B175598"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Horizontal Mobility</w:t>
            </w:r>
          </w:p>
        </w:tc>
        <w:tc>
          <w:tcPr>
            <w:tcW w:w="1440" w:type="dxa"/>
            <w:tcBorders>
              <w:top w:val="nil"/>
              <w:left w:val="nil"/>
              <w:bottom w:val="nil"/>
              <w:right w:val="nil"/>
            </w:tcBorders>
            <w:tcMar>
              <w:top w:w="100" w:type="dxa"/>
              <w:left w:w="100" w:type="dxa"/>
              <w:bottom w:w="100" w:type="dxa"/>
              <w:right w:w="100" w:type="dxa"/>
            </w:tcMar>
          </w:tcPr>
          <w:p w14:paraId="193B4E0F"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Upward Mobility</w:t>
            </w:r>
          </w:p>
        </w:tc>
        <w:tc>
          <w:tcPr>
            <w:tcW w:w="1530" w:type="dxa"/>
            <w:tcBorders>
              <w:top w:val="nil"/>
              <w:left w:val="nil"/>
              <w:bottom w:val="nil"/>
              <w:right w:val="nil"/>
            </w:tcBorders>
            <w:tcMar>
              <w:top w:w="100" w:type="dxa"/>
              <w:left w:w="100" w:type="dxa"/>
              <w:bottom w:w="100" w:type="dxa"/>
              <w:right w:w="100" w:type="dxa"/>
            </w:tcMar>
          </w:tcPr>
          <w:p w14:paraId="132E64E0"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Downward Mobility</w:t>
            </w:r>
          </w:p>
        </w:tc>
      </w:tr>
      <w:tr w:rsidR="002836A6" w14:paraId="293AF1E1" w14:textId="77777777">
        <w:trPr>
          <w:trHeight w:val="800"/>
        </w:trPr>
        <w:tc>
          <w:tcPr>
            <w:tcW w:w="1800" w:type="dxa"/>
            <w:tcBorders>
              <w:top w:val="nil"/>
              <w:left w:val="nil"/>
              <w:bottom w:val="nil"/>
              <w:right w:val="nil"/>
            </w:tcBorders>
            <w:tcMar>
              <w:top w:w="100" w:type="dxa"/>
              <w:left w:w="100" w:type="dxa"/>
              <w:bottom w:w="100" w:type="dxa"/>
              <w:right w:w="100" w:type="dxa"/>
            </w:tcMar>
          </w:tcPr>
          <w:p w14:paraId="476E112C"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 (n = 10)</w:t>
            </w:r>
          </w:p>
        </w:tc>
        <w:tc>
          <w:tcPr>
            <w:tcW w:w="1635" w:type="dxa"/>
            <w:tcBorders>
              <w:top w:val="nil"/>
              <w:left w:val="nil"/>
              <w:bottom w:val="nil"/>
              <w:right w:val="nil"/>
            </w:tcBorders>
            <w:tcMar>
              <w:top w:w="100" w:type="dxa"/>
              <w:left w:w="100" w:type="dxa"/>
              <w:bottom w:w="100" w:type="dxa"/>
              <w:right w:w="100" w:type="dxa"/>
            </w:tcMar>
          </w:tcPr>
          <w:p w14:paraId="6495AC02"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05" w:type="dxa"/>
            <w:tcBorders>
              <w:top w:val="nil"/>
              <w:left w:val="nil"/>
              <w:bottom w:val="nil"/>
              <w:right w:val="nil"/>
            </w:tcBorders>
            <w:tcMar>
              <w:top w:w="100" w:type="dxa"/>
              <w:left w:w="100" w:type="dxa"/>
              <w:bottom w:w="100" w:type="dxa"/>
              <w:right w:w="100" w:type="dxa"/>
            </w:tcMar>
          </w:tcPr>
          <w:p w14:paraId="5CF4BF90"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55" w:type="dxa"/>
            <w:tcBorders>
              <w:top w:val="nil"/>
              <w:left w:val="nil"/>
              <w:bottom w:val="nil"/>
              <w:right w:val="nil"/>
            </w:tcBorders>
            <w:tcMar>
              <w:top w:w="100" w:type="dxa"/>
              <w:left w:w="100" w:type="dxa"/>
              <w:bottom w:w="100" w:type="dxa"/>
              <w:right w:w="100" w:type="dxa"/>
            </w:tcMar>
          </w:tcPr>
          <w:p w14:paraId="3465D44D"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nil"/>
              <w:left w:val="nil"/>
              <w:bottom w:val="nil"/>
              <w:right w:val="nil"/>
            </w:tcBorders>
            <w:tcMar>
              <w:top w:w="100" w:type="dxa"/>
              <w:left w:w="100" w:type="dxa"/>
              <w:bottom w:w="100" w:type="dxa"/>
              <w:right w:w="100" w:type="dxa"/>
            </w:tcMar>
          </w:tcPr>
          <w:p w14:paraId="418E5169"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30" w:type="dxa"/>
            <w:tcBorders>
              <w:top w:val="nil"/>
              <w:left w:val="nil"/>
              <w:bottom w:val="nil"/>
              <w:right w:val="nil"/>
            </w:tcBorders>
            <w:tcMar>
              <w:top w:w="100" w:type="dxa"/>
              <w:left w:w="100" w:type="dxa"/>
              <w:bottom w:w="100" w:type="dxa"/>
              <w:right w:w="100" w:type="dxa"/>
            </w:tcMar>
          </w:tcPr>
          <w:p w14:paraId="0BD5EEE8"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2836A6" w14:paraId="5B0F86DF" w14:textId="77777777">
        <w:trPr>
          <w:trHeight w:val="800"/>
        </w:trPr>
        <w:tc>
          <w:tcPr>
            <w:tcW w:w="1800" w:type="dxa"/>
            <w:tcBorders>
              <w:top w:val="nil"/>
              <w:left w:val="nil"/>
              <w:bottom w:val="nil"/>
              <w:right w:val="nil"/>
            </w:tcBorders>
            <w:tcMar>
              <w:top w:w="100" w:type="dxa"/>
              <w:left w:w="100" w:type="dxa"/>
              <w:bottom w:w="100" w:type="dxa"/>
              <w:right w:w="100" w:type="dxa"/>
            </w:tcMar>
          </w:tcPr>
          <w:p w14:paraId="555E1609"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 (n = 20)</w:t>
            </w:r>
          </w:p>
        </w:tc>
        <w:tc>
          <w:tcPr>
            <w:tcW w:w="1635" w:type="dxa"/>
            <w:tcBorders>
              <w:top w:val="nil"/>
              <w:left w:val="nil"/>
              <w:bottom w:val="nil"/>
              <w:right w:val="nil"/>
            </w:tcBorders>
            <w:tcMar>
              <w:top w:w="100" w:type="dxa"/>
              <w:left w:w="100" w:type="dxa"/>
              <w:bottom w:w="100" w:type="dxa"/>
              <w:right w:w="100" w:type="dxa"/>
            </w:tcMar>
          </w:tcPr>
          <w:p w14:paraId="1580342F"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05" w:type="dxa"/>
            <w:tcBorders>
              <w:top w:val="nil"/>
              <w:left w:val="nil"/>
              <w:bottom w:val="nil"/>
              <w:right w:val="nil"/>
            </w:tcBorders>
            <w:tcMar>
              <w:top w:w="100" w:type="dxa"/>
              <w:left w:w="100" w:type="dxa"/>
              <w:bottom w:w="100" w:type="dxa"/>
              <w:right w:w="100" w:type="dxa"/>
            </w:tcMar>
          </w:tcPr>
          <w:p w14:paraId="725EAB8A"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55" w:type="dxa"/>
            <w:tcBorders>
              <w:top w:val="nil"/>
              <w:left w:val="nil"/>
              <w:bottom w:val="nil"/>
              <w:right w:val="nil"/>
            </w:tcBorders>
            <w:tcMar>
              <w:top w:w="100" w:type="dxa"/>
              <w:left w:w="100" w:type="dxa"/>
              <w:bottom w:w="100" w:type="dxa"/>
              <w:right w:w="100" w:type="dxa"/>
            </w:tcMar>
          </w:tcPr>
          <w:p w14:paraId="34E7BD60"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40" w:type="dxa"/>
            <w:tcBorders>
              <w:top w:val="nil"/>
              <w:left w:val="nil"/>
              <w:bottom w:val="nil"/>
              <w:right w:val="nil"/>
            </w:tcBorders>
            <w:tcMar>
              <w:top w:w="100" w:type="dxa"/>
              <w:left w:w="100" w:type="dxa"/>
              <w:bottom w:w="100" w:type="dxa"/>
              <w:right w:w="100" w:type="dxa"/>
            </w:tcMar>
          </w:tcPr>
          <w:p w14:paraId="3958E99C"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30" w:type="dxa"/>
            <w:tcBorders>
              <w:top w:val="nil"/>
              <w:left w:val="nil"/>
              <w:bottom w:val="nil"/>
              <w:right w:val="nil"/>
            </w:tcBorders>
            <w:tcMar>
              <w:top w:w="100" w:type="dxa"/>
              <w:left w:w="100" w:type="dxa"/>
              <w:bottom w:w="100" w:type="dxa"/>
              <w:right w:w="100" w:type="dxa"/>
            </w:tcMar>
          </w:tcPr>
          <w:p w14:paraId="2306E86E"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2836A6" w14:paraId="2D4E8720" w14:textId="77777777">
        <w:trPr>
          <w:trHeight w:val="800"/>
        </w:trPr>
        <w:tc>
          <w:tcPr>
            <w:tcW w:w="1800" w:type="dxa"/>
            <w:tcBorders>
              <w:top w:val="nil"/>
              <w:left w:val="nil"/>
              <w:bottom w:val="nil"/>
              <w:right w:val="nil"/>
            </w:tcBorders>
            <w:tcMar>
              <w:top w:w="100" w:type="dxa"/>
              <w:left w:w="100" w:type="dxa"/>
              <w:bottom w:w="100" w:type="dxa"/>
              <w:right w:w="100" w:type="dxa"/>
            </w:tcMar>
          </w:tcPr>
          <w:p w14:paraId="7DB5FAB7"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 (N = 30)</w:t>
            </w:r>
          </w:p>
        </w:tc>
        <w:tc>
          <w:tcPr>
            <w:tcW w:w="1635" w:type="dxa"/>
            <w:tcBorders>
              <w:top w:val="nil"/>
              <w:left w:val="nil"/>
              <w:bottom w:val="nil"/>
              <w:right w:val="nil"/>
            </w:tcBorders>
            <w:tcMar>
              <w:top w:w="100" w:type="dxa"/>
              <w:left w:w="100" w:type="dxa"/>
              <w:bottom w:w="100" w:type="dxa"/>
              <w:right w:w="100" w:type="dxa"/>
            </w:tcMar>
          </w:tcPr>
          <w:p w14:paraId="4960394A"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05" w:type="dxa"/>
            <w:tcBorders>
              <w:top w:val="nil"/>
              <w:left w:val="nil"/>
              <w:bottom w:val="nil"/>
              <w:right w:val="nil"/>
            </w:tcBorders>
            <w:tcMar>
              <w:top w:w="100" w:type="dxa"/>
              <w:left w:w="100" w:type="dxa"/>
              <w:bottom w:w="100" w:type="dxa"/>
              <w:right w:w="100" w:type="dxa"/>
            </w:tcMar>
          </w:tcPr>
          <w:p w14:paraId="0B829AA3"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55" w:type="dxa"/>
            <w:tcBorders>
              <w:top w:val="nil"/>
              <w:left w:val="nil"/>
              <w:bottom w:val="nil"/>
              <w:right w:val="nil"/>
            </w:tcBorders>
            <w:tcMar>
              <w:top w:w="100" w:type="dxa"/>
              <w:left w:w="100" w:type="dxa"/>
              <w:bottom w:w="100" w:type="dxa"/>
              <w:right w:w="100" w:type="dxa"/>
            </w:tcMar>
          </w:tcPr>
          <w:p w14:paraId="2C730F05"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nil"/>
              <w:left w:val="nil"/>
              <w:bottom w:val="nil"/>
              <w:right w:val="nil"/>
            </w:tcBorders>
            <w:tcMar>
              <w:top w:w="100" w:type="dxa"/>
              <w:left w:w="100" w:type="dxa"/>
              <w:bottom w:w="100" w:type="dxa"/>
              <w:right w:w="100" w:type="dxa"/>
            </w:tcMar>
          </w:tcPr>
          <w:p w14:paraId="5514084F"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30" w:type="dxa"/>
            <w:tcBorders>
              <w:top w:val="nil"/>
              <w:left w:val="nil"/>
              <w:bottom w:val="nil"/>
              <w:right w:val="nil"/>
            </w:tcBorders>
            <w:tcMar>
              <w:top w:w="100" w:type="dxa"/>
              <w:left w:w="100" w:type="dxa"/>
              <w:bottom w:w="100" w:type="dxa"/>
              <w:right w:w="100" w:type="dxa"/>
            </w:tcMar>
          </w:tcPr>
          <w:p w14:paraId="7C8FA233" w14:textId="77777777" w:rsidR="002836A6" w:rsidRDefault="00000000" w:rsidP="006514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38A28F32" w14:textId="77777777" w:rsidR="002836A6"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revealed two overarching themes influencing migration decisions: pushing factors and pulling factors. Pushing factors included political issues such as political instability, non-transparent recruitment, and bureaucracy; economic concerns including financial instability and workforce turnover; social challenges related to an uncertain future and low quality of life; and professional limitations such as lack of demand, limited funding, poor infrastructure, and low scientific development. In contrast, pulling factors reflected favorable conditions abroad, including political freedom and internationalization opportunities, competitive salaries and stable employment, enhanced quality of life and family-building prospects, as well as professional advantages such as access to academic communities, stronger ethical standards, demand for expertise, and better resources and infrastructure. Together, these themes provide a framework for understanding the multidimensional factors shaping participants’ migration intentions and experiences. </w:t>
      </w:r>
    </w:p>
    <w:p w14:paraId="698E0946" w14:textId="77777777" w:rsid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Pushing Factors</w:t>
      </w:r>
      <w:bookmarkStart w:id="0" w:name="_heading=h.ofkew0h7e60" w:colFirst="0" w:colLast="0"/>
      <w:bookmarkEnd w:id="0"/>
    </w:p>
    <w:p w14:paraId="528CC28A" w14:textId="77777777" w:rsidR="006514F5" w:rsidRDefault="00000000" w:rsidP="006514F5">
      <w:pPr>
        <w:spacing w:line="240" w:lineRule="auto"/>
        <w:jc w:val="both"/>
        <w:rPr>
          <w:rFonts w:ascii="Times New Roman" w:eastAsia="Times New Roman" w:hAnsi="Times New Roman" w:cs="Times New Roman"/>
          <w:color w:val="000000"/>
          <w:sz w:val="24"/>
          <w:szCs w:val="24"/>
        </w:rPr>
      </w:pPr>
      <w:r w:rsidRPr="006514F5">
        <w:rPr>
          <w:rFonts w:ascii="Times New Roman" w:eastAsia="Times New Roman" w:hAnsi="Times New Roman" w:cs="Times New Roman"/>
          <w:i/>
          <w:iCs/>
          <w:color w:val="000000"/>
          <w:sz w:val="24"/>
          <w:szCs w:val="24"/>
        </w:rPr>
        <w:t>Political Factors</w:t>
      </w:r>
      <w:r w:rsidRPr="006514F5">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Political factors emerged as an important source of dissatisfaction among participants, particularly in relation to instability, bureaucratic practices, and perceptions of unfair institutional processes. Participants commonly associated these conditions with limited trust in the academic environment and uncertainty regarding professional advancement. Concerns about governance and recruitment practices contributed to feelings of insecurity and reduced confidence in long-term academic prospects within Kazakhstan. One participant emphasized the role of connections in employment opportunities, explaining that “compared to his classmates, he had no connections that could help him secure a good job” (Participant 15, personal communication, translated from Russian).</w:t>
      </w:r>
      <w:bookmarkStart w:id="1" w:name="_heading=h.g16tvferbb7w" w:colFirst="0" w:colLast="0"/>
      <w:bookmarkEnd w:id="1"/>
    </w:p>
    <w:p w14:paraId="1140C5C0" w14:textId="77777777" w:rsidR="006514F5" w:rsidRDefault="00000000" w:rsidP="006514F5">
      <w:pPr>
        <w:spacing w:line="240" w:lineRule="auto"/>
        <w:jc w:val="both"/>
        <w:rPr>
          <w:rFonts w:ascii="Times New Roman" w:eastAsia="Times New Roman" w:hAnsi="Times New Roman" w:cs="Times New Roman"/>
          <w:b/>
          <w:bCs/>
          <w:i/>
          <w:iCs/>
          <w:sz w:val="24"/>
          <w:szCs w:val="24"/>
        </w:rPr>
      </w:pPr>
      <w:r w:rsidRPr="006514F5">
        <w:rPr>
          <w:rFonts w:ascii="Times New Roman" w:eastAsia="Times New Roman" w:hAnsi="Times New Roman" w:cs="Times New Roman"/>
          <w:i/>
          <w:iCs/>
          <w:color w:val="000000"/>
          <w:sz w:val="24"/>
          <w:szCs w:val="24"/>
        </w:rPr>
        <w:t>Economic Factors.</w:t>
      </w:r>
      <w:r>
        <w:rPr>
          <w:rFonts w:ascii="Times New Roman" w:eastAsia="Times New Roman" w:hAnsi="Times New Roman" w:cs="Times New Roman"/>
          <w:color w:val="000000"/>
          <w:sz w:val="24"/>
          <w:szCs w:val="24"/>
        </w:rPr>
        <w:t xml:space="preserve"> Economic concerns were frequently linked to instability and limitations within the academic sector. Participants described uncertainty in employment conditions, uneven access to resources, and insufficient funding as barriers to sustainable academic careers. These challenges often affected both professional planning and broader perceptions of future security.</w:t>
      </w:r>
    </w:p>
    <w:p w14:paraId="7036BDC0"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one participant explained, “the reason for turnover is not even money or conditions. The key problem in Kazakhstan, at the macro level, is unpredictability” (Participant 26, personal communication, translated from Russian). Another participant highlighted resource limitations, stating that “there were limited resources in Kazakhstan in this field…” (Participant 21, personal communication, translated from Russian).</w:t>
      </w:r>
      <w:bookmarkStart w:id="2" w:name="_heading=h.ux3v1v77zhom" w:colFirst="0" w:colLast="0"/>
      <w:bookmarkEnd w:id="2"/>
    </w:p>
    <w:p w14:paraId="43292766" w14:textId="77777777" w:rsidR="006514F5" w:rsidRDefault="00000000" w:rsidP="006514F5">
      <w:pPr>
        <w:spacing w:line="240" w:lineRule="auto"/>
        <w:jc w:val="both"/>
        <w:rPr>
          <w:rFonts w:ascii="Times New Roman" w:eastAsia="Times New Roman" w:hAnsi="Times New Roman" w:cs="Times New Roman"/>
          <w:b/>
          <w:bCs/>
          <w:i/>
          <w:iCs/>
          <w:sz w:val="24"/>
          <w:szCs w:val="24"/>
        </w:rPr>
      </w:pPr>
      <w:r w:rsidRPr="006514F5">
        <w:rPr>
          <w:rFonts w:ascii="Times New Roman" w:eastAsia="Times New Roman" w:hAnsi="Times New Roman" w:cs="Times New Roman"/>
          <w:i/>
          <w:iCs/>
          <w:color w:val="000000"/>
          <w:sz w:val="24"/>
          <w:szCs w:val="24"/>
        </w:rPr>
        <w:lastRenderedPageBreak/>
        <w:t>Social Factors.</w:t>
      </w:r>
      <w:r>
        <w:rPr>
          <w:rFonts w:ascii="Times New Roman" w:eastAsia="Times New Roman" w:hAnsi="Times New Roman" w:cs="Times New Roman"/>
          <w:color w:val="000000"/>
          <w:sz w:val="24"/>
          <w:szCs w:val="24"/>
        </w:rPr>
        <w:t xml:space="preserve"> Social factors reflected participants’ concerns about long-term wellbeing and living conditions. Participants frequently referred to uncertainty about the future, environmental concerns, and dissatisfaction with broader social conditions. These experiences contributed to perceptions of instability extending beyond the workplace.</w:t>
      </w:r>
    </w:p>
    <w:p w14:paraId="73A5BE7A"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one participant stated that “the main reason he left Almaty was poor ecology, which worsens every year” (Participant 26, personal communication, translated from Russian).</w:t>
      </w:r>
      <w:bookmarkStart w:id="3" w:name="_heading=h.ru75mownv3rj" w:colFirst="0" w:colLast="0"/>
      <w:bookmarkEnd w:id="3"/>
    </w:p>
    <w:p w14:paraId="277D2BE3" w14:textId="77777777" w:rsidR="006514F5" w:rsidRDefault="00000000" w:rsidP="006514F5">
      <w:pPr>
        <w:spacing w:line="240" w:lineRule="auto"/>
        <w:jc w:val="both"/>
        <w:rPr>
          <w:rFonts w:ascii="Times New Roman" w:eastAsia="Times New Roman" w:hAnsi="Times New Roman" w:cs="Times New Roman"/>
          <w:b/>
          <w:bCs/>
          <w:i/>
          <w:iCs/>
          <w:sz w:val="24"/>
          <w:szCs w:val="24"/>
        </w:rPr>
      </w:pPr>
      <w:r w:rsidRPr="006514F5">
        <w:rPr>
          <w:rFonts w:ascii="Times New Roman" w:eastAsia="Times New Roman" w:hAnsi="Times New Roman" w:cs="Times New Roman"/>
          <w:i/>
          <w:iCs/>
          <w:color w:val="000000"/>
          <w:sz w:val="24"/>
          <w:szCs w:val="24"/>
        </w:rPr>
        <w:t>Professional Factors.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Professional factors were among the most frequently discussed motivations for migration. Participants described limited opportunities for career development, insufficient demand for expertise, and restricted access to academic networks and research infrastructure. These conditions often created perceptions of professional stagnation and constrained advancement.</w:t>
      </w:r>
    </w:p>
    <w:p w14:paraId="52809907" w14:textId="04BED1A4" w:rsidR="002836A6" w:rsidRPr="006514F5" w:rsidRDefault="00000000" w:rsidP="006514F5">
      <w:pPr>
        <w:spacing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One participant explained that “many scholars leave because there is no demand and no conditions to develop as a scientist in Kazakhstan” (Participant 20, personal communication, translated from Russian). Another participant emphasized barriers to academic progression, noting that “there were very limited opportunities to enter doctoral studies” (Participant 29, personal communication, translated from Russian).</w:t>
      </w:r>
    </w:p>
    <w:p w14:paraId="145609C6" w14:textId="77777777" w:rsidR="006514F5" w:rsidRDefault="00000000" w:rsidP="006514F5">
      <w:pPr>
        <w:pStyle w:val="Heading3"/>
        <w:keepNext w:val="0"/>
        <w:keepLines w:val="0"/>
        <w:spacing w:before="280" w:line="240" w:lineRule="auto"/>
        <w:ind w:right="600"/>
        <w:jc w:val="both"/>
        <w:rPr>
          <w:rFonts w:ascii="Times New Roman" w:eastAsia="Times New Roman" w:hAnsi="Times New Roman" w:cs="Times New Roman"/>
          <w:b/>
          <w:bCs/>
          <w:i/>
          <w:iCs/>
          <w:color w:val="000000"/>
          <w:sz w:val="24"/>
          <w:szCs w:val="24"/>
        </w:rPr>
      </w:pPr>
      <w:bookmarkStart w:id="4" w:name="_heading=h.1viq6cys6y9" w:colFirst="0" w:colLast="0"/>
      <w:bookmarkEnd w:id="4"/>
      <w:r>
        <w:rPr>
          <w:rFonts w:ascii="Times New Roman" w:eastAsia="Times New Roman" w:hAnsi="Times New Roman" w:cs="Times New Roman"/>
          <w:b/>
          <w:bCs/>
          <w:i/>
          <w:iCs/>
          <w:color w:val="000000"/>
          <w:sz w:val="24"/>
          <w:szCs w:val="24"/>
        </w:rPr>
        <w:t>Pulling Factors</w:t>
      </w:r>
      <w:bookmarkStart w:id="5" w:name="_heading=h.d54nq8na0259" w:colFirst="0" w:colLast="0"/>
      <w:bookmarkEnd w:id="5"/>
    </w:p>
    <w:p w14:paraId="5F7841EB" w14:textId="6F07ABC8" w:rsidR="002836A6" w:rsidRPr="006514F5" w:rsidRDefault="00000000" w:rsidP="006514F5">
      <w:pPr>
        <w:pStyle w:val="Heading3"/>
        <w:keepNext w:val="0"/>
        <w:keepLines w:val="0"/>
        <w:spacing w:before="280" w:line="240" w:lineRule="auto"/>
        <w:ind w:right="600"/>
        <w:jc w:val="both"/>
        <w:rPr>
          <w:rFonts w:ascii="Times New Roman" w:eastAsia="Times New Roman" w:hAnsi="Times New Roman" w:cs="Times New Roman"/>
          <w:b/>
          <w:bCs/>
          <w:i/>
          <w:iCs/>
          <w:color w:val="000000"/>
          <w:sz w:val="24"/>
          <w:szCs w:val="24"/>
        </w:rPr>
      </w:pPr>
      <w:r w:rsidRPr="006514F5">
        <w:rPr>
          <w:rFonts w:ascii="Times New Roman" w:eastAsia="Times New Roman" w:hAnsi="Times New Roman" w:cs="Times New Roman"/>
          <w:i/>
          <w:iCs/>
          <w:color w:val="000000"/>
          <w:sz w:val="24"/>
          <w:szCs w:val="24"/>
        </w:rPr>
        <w:t>Political Factors.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Political conditions abroad were viewed positively by participants, </w:t>
      </w:r>
    </w:p>
    <w:p w14:paraId="7B0F16AA" w14:textId="77777777" w:rsidR="006514F5" w:rsidRDefault="00000000" w:rsidP="006514F5">
      <w:pPr>
        <w:pStyle w:val="Heading4"/>
        <w:keepNext w:val="0"/>
        <w:keepLines w:val="0"/>
        <w:spacing w:before="240" w:line="240" w:lineRule="auto"/>
        <w:ind w:right="-60"/>
        <w:jc w:val="both"/>
        <w:rPr>
          <w:rFonts w:ascii="Times New Roman" w:eastAsia="Times New Roman" w:hAnsi="Times New Roman" w:cs="Times New Roman"/>
          <w:i w:val="0"/>
          <w:iCs w:val="0"/>
          <w:color w:val="000000"/>
          <w:sz w:val="24"/>
          <w:szCs w:val="24"/>
        </w:rPr>
      </w:pPr>
      <w:bookmarkStart w:id="6" w:name="_heading=h.oxam21y99b17" w:colFirst="0" w:colLast="0"/>
      <w:bookmarkEnd w:id="6"/>
      <w:r>
        <w:rPr>
          <w:rFonts w:ascii="Times New Roman" w:eastAsia="Times New Roman" w:hAnsi="Times New Roman" w:cs="Times New Roman"/>
          <w:i w:val="0"/>
          <w:iCs w:val="0"/>
          <w:color w:val="000000"/>
          <w:sz w:val="24"/>
          <w:szCs w:val="24"/>
        </w:rPr>
        <w:t>particularly in relation to academic freedom and supportive institutional environments. Participants described greater autonomy and openness within international academic systems, which contributed to increased professional satisfaction.</w:t>
      </w:r>
    </w:p>
    <w:p w14:paraId="2F03913E" w14:textId="77777777" w:rsidR="006514F5" w:rsidRDefault="00000000" w:rsidP="006514F5">
      <w:pPr>
        <w:pStyle w:val="Heading4"/>
        <w:keepNext w:val="0"/>
        <w:keepLines w:val="0"/>
        <w:spacing w:before="240" w:line="240" w:lineRule="auto"/>
        <w:ind w:right="-60"/>
        <w:jc w:val="both"/>
        <w:rPr>
          <w:rFonts w:ascii="Times New Roman" w:eastAsia="Times New Roman" w:hAnsi="Times New Roman" w:cs="Times New Roman"/>
          <w:i w:val="0"/>
          <w:iCs w:val="0"/>
          <w:color w:val="000000"/>
          <w:sz w:val="24"/>
          <w:szCs w:val="24"/>
        </w:rPr>
      </w:pPr>
      <w:r w:rsidRPr="006514F5">
        <w:rPr>
          <w:rFonts w:ascii="Times New Roman" w:eastAsia="Times New Roman" w:hAnsi="Times New Roman" w:cs="Times New Roman"/>
          <w:i w:val="0"/>
          <w:iCs w:val="0"/>
          <w:color w:val="000000"/>
          <w:sz w:val="24"/>
          <w:szCs w:val="24"/>
        </w:rPr>
        <w:t>One participant shared that “in the field of pure mathematics, he did not need to express political views, which made him more satisfied as a scholar” (Participant 15, personal communication, translated from Kazakh).</w:t>
      </w:r>
      <w:bookmarkStart w:id="7" w:name="_heading=h.45rx8fwovfqk" w:colFirst="0" w:colLast="0"/>
      <w:bookmarkEnd w:id="7"/>
    </w:p>
    <w:p w14:paraId="6F98BD24" w14:textId="77777777" w:rsidR="006514F5" w:rsidRDefault="00000000" w:rsidP="006514F5">
      <w:pPr>
        <w:pStyle w:val="Heading4"/>
        <w:keepNext w:val="0"/>
        <w:keepLines w:val="0"/>
        <w:spacing w:before="240" w:line="240" w:lineRule="auto"/>
        <w:ind w:right="-60"/>
        <w:jc w:val="both"/>
        <w:rPr>
          <w:rFonts w:ascii="Times New Roman" w:eastAsia="Times New Roman" w:hAnsi="Times New Roman" w:cs="Times New Roman"/>
          <w:i w:val="0"/>
          <w:iCs w:val="0"/>
          <w:color w:val="000000"/>
          <w:sz w:val="24"/>
          <w:szCs w:val="24"/>
        </w:rPr>
      </w:pPr>
      <w:r w:rsidRPr="006514F5">
        <w:rPr>
          <w:rFonts w:ascii="Times New Roman" w:eastAsia="Times New Roman" w:hAnsi="Times New Roman" w:cs="Times New Roman"/>
          <w:color w:val="000000"/>
          <w:sz w:val="24"/>
          <w:szCs w:val="24"/>
        </w:rPr>
        <w:t>Economic Factors.</w:t>
      </w:r>
      <w:r>
        <w:rPr>
          <w:rFonts w:ascii="Times New Roman" w:eastAsia="Times New Roman" w:hAnsi="Times New Roman" w:cs="Times New Roman"/>
          <w:b/>
          <w:bCs/>
          <w:i w:val="0"/>
          <w:iCs w:val="0"/>
          <w:color w:val="000000"/>
          <w:sz w:val="24"/>
          <w:szCs w:val="24"/>
        </w:rPr>
        <w:t xml:space="preserve"> </w:t>
      </w:r>
      <w:r>
        <w:rPr>
          <w:rFonts w:ascii="Times New Roman" w:eastAsia="Times New Roman" w:hAnsi="Times New Roman" w:cs="Times New Roman"/>
          <w:i w:val="0"/>
          <w:iCs w:val="0"/>
          <w:color w:val="000000"/>
          <w:sz w:val="24"/>
          <w:szCs w:val="24"/>
        </w:rPr>
        <w:t>Economic opportunities abroad were commonly associated with stability and improved working conditions. Participants emphasized the importance of reliable employment, competitive salaries, and financial security in supporting academic productivity and long-term career planning.</w:t>
      </w:r>
    </w:p>
    <w:p w14:paraId="2F41EA2D" w14:textId="77777777" w:rsidR="006514F5" w:rsidRDefault="00000000" w:rsidP="006514F5">
      <w:pPr>
        <w:pStyle w:val="Heading4"/>
        <w:keepNext w:val="0"/>
        <w:keepLines w:val="0"/>
        <w:spacing w:before="240" w:line="240" w:lineRule="auto"/>
        <w:ind w:right="-60"/>
        <w:jc w:val="both"/>
        <w:rPr>
          <w:rFonts w:ascii="Times New Roman" w:eastAsia="Times New Roman" w:hAnsi="Times New Roman" w:cs="Times New Roman"/>
          <w:i w:val="0"/>
          <w:iCs w:val="0"/>
          <w:color w:val="000000"/>
          <w:sz w:val="24"/>
          <w:szCs w:val="24"/>
        </w:rPr>
      </w:pPr>
      <w:r w:rsidRPr="006514F5">
        <w:rPr>
          <w:rFonts w:ascii="Times New Roman" w:eastAsia="Times New Roman" w:hAnsi="Times New Roman" w:cs="Times New Roman"/>
          <w:i w:val="0"/>
          <w:iCs w:val="0"/>
          <w:color w:val="000000"/>
          <w:sz w:val="24"/>
          <w:szCs w:val="24"/>
        </w:rPr>
        <w:t>As one participant stated, “of course, the demand for scholars there is higher—good working conditions and pay” (Participant 21, personal communication, translated from Russian).</w:t>
      </w:r>
      <w:bookmarkStart w:id="8" w:name="_heading=h.grpau7ft6on" w:colFirst="0" w:colLast="0"/>
      <w:bookmarkEnd w:id="8"/>
    </w:p>
    <w:p w14:paraId="360B05F6" w14:textId="24320DA3" w:rsidR="002836A6" w:rsidRDefault="00000000" w:rsidP="006514F5">
      <w:pPr>
        <w:pStyle w:val="Heading4"/>
        <w:keepNext w:val="0"/>
        <w:keepLines w:val="0"/>
        <w:spacing w:before="240" w:line="240" w:lineRule="auto"/>
        <w:ind w:right="-60"/>
        <w:jc w:val="both"/>
        <w:rPr>
          <w:rFonts w:ascii="Times New Roman" w:eastAsia="Times New Roman" w:hAnsi="Times New Roman" w:cs="Times New Roman"/>
          <w:i w:val="0"/>
          <w:iCs w:val="0"/>
          <w:color w:val="000000"/>
          <w:sz w:val="24"/>
          <w:szCs w:val="24"/>
        </w:rPr>
      </w:pPr>
      <w:r w:rsidRPr="006514F5">
        <w:rPr>
          <w:rFonts w:ascii="Times New Roman" w:eastAsia="Times New Roman" w:hAnsi="Times New Roman" w:cs="Times New Roman"/>
          <w:color w:val="000000"/>
          <w:sz w:val="24"/>
          <w:szCs w:val="24"/>
        </w:rPr>
        <w:t>Social Factors.</w:t>
      </w:r>
      <w:r>
        <w:rPr>
          <w:rFonts w:ascii="Times New Roman" w:eastAsia="Times New Roman" w:hAnsi="Times New Roman" w:cs="Times New Roman"/>
          <w:b/>
          <w:bCs/>
          <w:i w:val="0"/>
          <w:iCs w:val="0"/>
          <w:color w:val="000000"/>
          <w:sz w:val="24"/>
          <w:szCs w:val="24"/>
        </w:rPr>
        <w:t xml:space="preserve"> </w:t>
      </w:r>
      <w:r>
        <w:rPr>
          <w:rFonts w:ascii="Times New Roman" w:eastAsia="Times New Roman" w:hAnsi="Times New Roman" w:cs="Times New Roman"/>
          <w:i w:val="0"/>
          <w:iCs w:val="0"/>
          <w:color w:val="000000"/>
          <w:sz w:val="24"/>
          <w:szCs w:val="24"/>
        </w:rPr>
        <w:t>Social factors abroad were closely connected to quality of life and personal wellbeing. Participants highlighted access to better living conditions, security, and opportunities for family life as important aspects influencing their decisions to remain abroad.</w:t>
      </w:r>
    </w:p>
    <w:p w14:paraId="4300B0AA" w14:textId="77777777" w:rsidR="006514F5" w:rsidRDefault="00000000" w:rsidP="006514F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instance, one participant explained that “she started a family in America, and her plans began to change” (Participant 29, personal communication, translated from Russian).</w:t>
      </w:r>
      <w:bookmarkStart w:id="9" w:name="_heading=h.m3b8zqplw7vk" w:colFirst="0" w:colLast="0"/>
      <w:bookmarkEnd w:id="9"/>
    </w:p>
    <w:p w14:paraId="34EB3C83" w14:textId="77777777" w:rsidR="006514F5" w:rsidRDefault="00000000" w:rsidP="006514F5">
      <w:pPr>
        <w:spacing w:before="240" w:after="240" w:line="240" w:lineRule="auto"/>
        <w:jc w:val="both"/>
        <w:rPr>
          <w:rFonts w:ascii="Times New Roman" w:eastAsia="Times New Roman" w:hAnsi="Times New Roman" w:cs="Times New Roman"/>
          <w:sz w:val="24"/>
          <w:szCs w:val="24"/>
        </w:rPr>
      </w:pPr>
      <w:r w:rsidRPr="006514F5">
        <w:rPr>
          <w:rFonts w:ascii="Times New Roman" w:eastAsia="Times New Roman" w:hAnsi="Times New Roman" w:cs="Times New Roman"/>
          <w:i/>
          <w:iCs/>
          <w:color w:val="000000"/>
          <w:sz w:val="24"/>
          <w:szCs w:val="24"/>
        </w:rPr>
        <w:t>Professional Factors.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Professional opportunities abroad were frequently described in terms of stronger academic communities, access to resources, and supportive research environments. Participants valued opportunities for collaboration, mentorship, and participation in international scholarly networks.</w:t>
      </w:r>
    </w:p>
    <w:p w14:paraId="7621E498" w14:textId="185FF94A" w:rsidR="002836A6" w:rsidRDefault="00000000" w:rsidP="006514F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One participant noted that “research opportunities abroad allowed the researcher to reconnect with the international scientific community” (Participant 2, personal communication, translated from Kazakh). Another participant emphasized the availability of resources, stating that “abroad these resources are still provided directly” (Participant 21, personal communication, translated from Russian).</w:t>
      </w:r>
    </w:p>
    <w:p w14:paraId="33C570B1"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Discussion and Conclusion </w:t>
      </w:r>
    </w:p>
    <w:p w14:paraId="6FFE725C"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explored the push and pull factors contributing to academic migration from Kazakhstan, situating participants’ experiences within broader theoretical frameworks of migration. The findings reaffirm and extend both classical and contemporary migration theories, particularly push-pull theory (Lee, 1966), human capital theory (Beine et al., 2001), and political economy approaches to migration (Castles, 2004). While traditional migration models often emphasize economic motivations, the findings of this study demonstrate that academic migration among Kazakhstani scholars is shaped by a broader interaction of institutional, political, professional, and personal factors. Consistent with contemporary migration scholarship emphasizing institutional quality and governance conditions (de Haas, 2011; Czaika &amp; de Haas, 2014), the study suggests that migration decisions among highly skilled individuals are embedded within wider structural and institutional contexts rather than solely individual economic calculations.</w:t>
      </w:r>
    </w:p>
    <w:p w14:paraId="19F44A47"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Consistent with previous research on migration from former Soviet  countries and institutional quality (Chen  et al., 2023; Korobkov &amp; Zaionchkovskaia, 2004; Naumova, 2014; Czaika &amp; de Haas, 2014), political instability and institutional uncertainty emerged as major drivers of academic outmigration. Participants frequently described distrust toward public institutions, dissatisfaction with governance structures, and frustration with bureaucratic rigidity. These experiences echo with other scholars’ argument that political fragmentation and institutional instability undermine social trust and institutional legitimacy during periods of transition (Malokani et al., 2022; Ndombi Avouba et al., 2025; Adam &amp; Rena, 2024)</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 In addition, the persistence of nepotism and informal professional practices reflects patterns identified in broader post-communist contexts, where governance challenges and weak meritocratic systems contribute to outward migration among highly skilled professionals. The findings contribute to existing migration literature by illustrating how informal institutional practices, including favoritism and bureaucratic inertia, are experienced not merely as administrative barriers but as factors undermining long-term professional trust, academic belonging, and perceptions of future stability.</w:t>
      </w:r>
    </w:p>
    <w:p w14:paraId="4919A145"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push factors were also significant, although participants framed them in more complex ways than simple wage dissatisfaction. Rather than focusing exclusively on income differences, participants emphasized macroeconomic uncertainty, inconsistent research financing, and limited opportunities for academic and professional advancement. These findings align with studies by Meo et al. (2024), Panagiotakopoulos (2020) and Malokani et al. (2022), which demonstrate that economic insecurity and unstable professional environments often intensify migration intentions among highly skilled workers. Importantly, professional grievances, particularly the lack of institutional support for research careers, limited demand for academic expertise, and barriers faced by early-career scholars, interacted closely with broader political and economic conditions (Latova &amp; Savinkov, 2012; Ganguli, 2015). This interconnectedness supports multidimensional migration frameworks proposed by de Haas (2010), in which economic motivations are inseparable from institutional and governance structures.</w:t>
      </w:r>
    </w:p>
    <w:p w14:paraId="52232025"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findings further suggest important policy implications regarding the relationship between higher education systems and labor market opportunities. Consistent with OECD (2019) and Quinn and Rubb (2005), insufficient alignment between academic qualifications and domestic labor market opportunities may intensify skilled emigration. Participants’ concerns regarding limited professional opportunities and weak research ecosystems indicate that policies aimed solely at increasing salaries may be insufficient for retaining highly skilled scholars. Instead, the literature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suggests that long-term investment in research infrastructure, expansion of knowledge-based employment sectors, and the development of transparent and merit-based career pathways may contribute more effectively to reducing intellectual outmigration (Latova &amp; Savinkov, 2012; Ganguli, 2015).</w:t>
      </w:r>
    </w:p>
    <w:p w14:paraId="1422856E"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pull side, the strongest motivating factors included political freedom, academic autonomy, professional integration, and access to stable institutional environments abroad. These findings support previous research emphasizing the role of civil liberties, institutional quality, and professional opportunities in attracting highly skilled migrants (Parkins, 2010; Khalid &amp; Urbański, 2021). Importantly, participants described these conditions not only in ideological terms but also as practical factors enabling productivity, creativity, and long-term career development. The attraction of internationalized academic systems, access to research resources, and professional recognition abroad also aligns with Beine et al.’s (2001) observation that destination countries attract skilled migrants by providing environments conducive to professional actualization and career fulfillment.</w:t>
      </w:r>
    </w:p>
    <w:p w14:paraId="59695AA0"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additionally reinforce broader migration scholarship suggesting that institutional quality significantly shapes migration decisions among highly skilled individuals (Akça &amp; Çelik, 2024; OECD, 2019). Participants consistently associated migration destinations with predictability, fairness, academic freedom, and professional recognition. This suggests that policies designed to address intellectual migration should extend beyond financial retention strategies and include broader reforms aimed at improving institutional trust, transparency, research autonomy, and governance quality within higher education and research sectors.</w:t>
      </w:r>
    </w:p>
    <w:p w14:paraId="58C356D2"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finding was that several participants framed migration not simply as professional relocation, but as a broader transformation of life circumstances. Participants frequently connected migration decisions to family well-being, social stability, personal autonomy, and quality of life. This aligns with contemporary migration scholarship that critiques economically reductionist interpretations of migration behavior (Hsieh &amp; Liu, 1983; Ibrahim et al., 2019). Rather than viewing migration solely through the lens of labor mobility, these perspectives emphasize the importance of social embeddedness, identity, and long-term life planning. The present study extends this literature within the context of post-Soviet academic migration by demonstrating how personal well-being, perceptions of societal predictability, and professional aspirations interact in shaping migration decisions among Kazakhstani scholars.</w:t>
      </w:r>
    </w:p>
    <w:p w14:paraId="5B70FED1"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also have broader implications for understanding intellectual migration within global knowledge economies. Existing literature on highly skilled migration suggests that globalization has increased competition for academic talent, particularly among countries capable of offering stronger institutional environments, research capacity, and professional mobility (Czaika &amp; de Haas, 2014; OECD, 2019; Freeman, 2010). In this context, the migration of Kazakhstani scholars reflects not only individual career aspirations but also structural tensions between national academic systems and global academic labor markets. The findings therefore support arguments that intellectual migration should be understood as both a national development issue and a transnational phenomenon shaped by unequal institutional opportunities across countries.</w:t>
      </w:r>
    </w:p>
    <w:p w14:paraId="04D70DE3"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These findings also indicate the potential importance of transnational academic engagement and diaspora-oriented approaches. Migration literature increasingly suggests that highly skilled migration should not be viewed exclusively as a permanent loss of national human capital, but also as a potential source of transnational collaboration, knowledge exchange, and scientific networking (Latova &amp; Savinkov, 2012; Ganguli, 2015; Castles et al., 2020). In this regard, policies encouraging diaspora engagement, international research collaboration, visiting scholar initiatives, and return migration opportunities may provide more sustainable responses to intellectual migration than restrictive migration approaches. Such strategies may allow scholars abroad to contribute to domestic academic and scientific development while maintaining participation in global research networks.</w:t>
      </w:r>
    </w:p>
    <w:p w14:paraId="48E1DC9A" w14:textId="77777777" w:rsidR="006514F5" w:rsidRDefault="00000000" w:rsidP="006514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intellectual migration from Kazakhstan reflects broader structural tensions between domestic academic systems and the evolving global knowledge economy. Political uncertainty, institutional distrust, limited meritocratic opportunities, and structural economic challenges emerged as important push factors shaping participants’ migration decisions. At the same time, pull factors such as academic freedom, institutional stability, professional integration, and opportunities for personal and professional development abroad played a central role in attracting scholars to destination countries.</w:t>
      </w:r>
    </w:p>
    <w:p w14:paraId="06C797C3" w14:textId="2FD992CF"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Consistent with broader migration scholarship emphasizing the multidimensional nature of highly skilled migration (de Haas, 2011; Castles et al., 2020), the findings indicate that academic migration from Kazakhstan cannot be understood solely through economic explanations. Rather, migration decisions among scholars are shaped by the interaction of institutional quality, governance conditions, professional recognition, career opportunities, and quality-of-life considerations. Consequently, policies addressing intellectual migration may be more effective when focused not only on financial incentives, but also on strengthening institutional transparency, merit-based academic systems, research infrastructure, international academic engagement, and trust in public and academic institutions. Ultimately, the migration of Kazakhstani scholars reflects not merely individual ambition, but broader structural dynamics associated with participation in an increasingly globalized and competitive knowledge economy.</w:t>
      </w:r>
    </w:p>
    <w:p w14:paraId="28689723" w14:textId="77777777" w:rsidR="006514F5" w:rsidRDefault="00000000" w:rsidP="006514F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Limitations and Future Recommendations </w:t>
      </w:r>
    </w:p>
    <w:p w14:paraId="091ED981" w14:textId="024646D9"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has several limitations that should be acknowledged. First, its qualitative nature and limited sample size constrain the generalizability of the findings, as the experiences of a select group of already-migrated academics may not represent the broader academic community in Kazakhstan, including those who chose to stay. Additionally, participants’ accounts may be influenced by retrospective bias, as they reflect on their decisions after the fact. The findings also reflect a specific political and economic period, which may shift over time, affecting the relevance of conclusions in future contexts. Future research should consider comparative studies across different post-Soviet or Global South countries to identify common patterns or divergences in academic migration. Longitudinal studies could offer insight into the evolving motivations and impacts of migration over time, while policy-focused evaluations could assess the effectiveness of Kazakhstan’s strategies to retain or reintegrate academic talent. Finally, further institutional-level research could explore how specific governance practices or working conditions contribute to migration decisions.</w:t>
      </w:r>
    </w:p>
    <w:p w14:paraId="5D18B332" w14:textId="77777777" w:rsidR="006514F5" w:rsidRPr="006514F5" w:rsidRDefault="006514F5" w:rsidP="006514F5">
      <w:pPr>
        <w:spacing w:after="0" w:line="240" w:lineRule="auto"/>
        <w:jc w:val="both"/>
        <w:rPr>
          <w:rFonts w:ascii="Times New Roman" w:eastAsia="Times New Roman" w:hAnsi="Times New Roman" w:cs="Times New Roman"/>
          <w:b/>
          <w:bCs/>
          <w:sz w:val="24"/>
          <w:szCs w:val="24"/>
        </w:rPr>
      </w:pPr>
    </w:p>
    <w:p w14:paraId="7F8AF0E4" w14:textId="179F6022" w:rsidR="002836A6" w:rsidRDefault="00000000" w:rsidP="006514F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5837B019" w14:textId="77777777" w:rsidR="006514F5" w:rsidRDefault="006514F5" w:rsidP="006514F5">
      <w:pPr>
        <w:spacing w:after="0" w:line="240" w:lineRule="auto"/>
        <w:rPr>
          <w:rFonts w:ascii="Times New Roman" w:eastAsia="Times New Roman" w:hAnsi="Times New Roman" w:cs="Times New Roman"/>
          <w:b/>
          <w:bCs/>
          <w:sz w:val="24"/>
          <w:szCs w:val="24"/>
        </w:rPr>
      </w:pPr>
    </w:p>
    <w:p w14:paraId="10486287"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Adam, H., &amp; Rena, R. (Eds.). (2024). </w:t>
      </w:r>
      <w:r>
        <w:rPr>
          <w:rFonts w:ascii="Times New Roman" w:eastAsia="Times New Roman" w:hAnsi="Times New Roman" w:cs="Times New Roman"/>
          <w:i/>
          <w:iCs/>
          <w:sz w:val="24"/>
          <w:szCs w:val="24"/>
        </w:rPr>
        <w:t xml:space="preserve">Polycrisis and economic development in the Global </w:t>
      </w:r>
    </w:p>
    <w:p w14:paraId="43F886B8"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South</w:t>
      </w:r>
      <w:r>
        <w:rPr>
          <w:rFonts w:ascii="Times New Roman" w:eastAsia="Times New Roman" w:hAnsi="Times New Roman" w:cs="Times New Roman"/>
          <w:sz w:val="24"/>
          <w:szCs w:val="24"/>
        </w:rPr>
        <w:t>. Routledge.</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color w:val="1155CC"/>
            <w:sz w:val="24"/>
            <w:szCs w:val="24"/>
            <w:u w:val="single"/>
          </w:rPr>
          <w:t>https://books.google.com/</w:t>
        </w:r>
      </w:hyperlink>
    </w:p>
    <w:p w14:paraId="30552B18"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Akça, E. E., &amp; Çelik, O. (2024). Institutional quality and emigration nexus: Empirical </w:t>
      </w:r>
    </w:p>
    <w:p w14:paraId="4E6300EC"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evidence from Türkiye. </w:t>
      </w:r>
      <w:r>
        <w:rPr>
          <w:rFonts w:ascii="Times New Roman" w:eastAsia="Times New Roman" w:hAnsi="Times New Roman" w:cs="Times New Roman"/>
          <w:i/>
          <w:iCs/>
          <w:sz w:val="24"/>
          <w:szCs w:val="24"/>
        </w:rPr>
        <w:t>International Migration, 62</w:t>
      </w:r>
      <w:r>
        <w:rPr>
          <w:rFonts w:ascii="Times New Roman" w:eastAsia="Times New Roman" w:hAnsi="Times New Roman" w:cs="Times New Roman"/>
          <w:sz w:val="24"/>
          <w:szCs w:val="24"/>
        </w:rPr>
        <w:t>(3), 3–19.</w:t>
      </w:r>
      <w:r>
        <w:rPr>
          <w:rFonts w:ascii="Times New Roman" w:eastAsia="Times New Roman" w:hAnsi="Times New Roman" w:cs="Times New Roman"/>
          <w:color w:val="1155CC"/>
          <w:sz w:val="24"/>
          <w:szCs w:val="24"/>
          <w:u w:val="single"/>
        </w:rPr>
        <w:t xml:space="preserve"> https://doi.org/10.1111/imig.13258</w:t>
      </w:r>
    </w:p>
    <w:p w14:paraId="47274955"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Asakura, T., &amp; Murata, A. K. (2006). Demography, immigration background, difficulties with </w:t>
      </w:r>
    </w:p>
    <w:p w14:paraId="16F9A547" w14:textId="77777777" w:rsidR="006514F5"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living in Japan, and psychological distress among Japanese Brazilians in Japan. </w:t>
      </w:r>
      <w:r>
        <w:rPr>
          <w:rFonts w:ascii="Times New Roman" w:eastAsia="Times New Roman" w:hAnsi="Times New Roman" w:cs="Times New Roman"/>
          <w:i/>
          <w:iCs/>
          <w:sz w:val="24"/>
          <w:szCs w:val="24"/>
        </w:rPr>
        <w:t>Journal of Immigrant and Minority Health, 8</w:t>
      </w:r>
      <w:r>
        <w:rPr>
          <w:rFonts w:ascii="Times New Roman" w:eastAsia="Times New Roman" w:hAnsi="Times New Roman" w:cs="Times New Roman"/>
          <w:sz w:val="24"/>
          <w:szCs w:val="24"/>
        </w:rPr>
        <w:t xml:space="preserve">(4), 325–338. </w:t>
      </w:r>
      <w:hyperlink r:id="rId14">
        <w:r>
          <w:rPr>
            <w:rFonts w:ascii="Times New Roman" w:eastAsia="Times New Roman" w:hAnsi="Times New Roman" w:cs="Times New Roman"/>
            <w:color w:val="1155CC"/>
            <w:sz w:val="24"/>
            <w:szCs w:val="24"/>
            <w:u w:val="single"/>
          </w:rPr>
          <w:t>https://doi.org/10.1007/s10903-006-9003-0</w:t>
        </w:r>
      </w:hyperlink>
      <w:r>
        <w:rPr>
          <w:rFonts w:ascii="Times New Roman" w:eastAsia="Times New Roman" w:hAnsi="Times New Roman" w:cs="Times New Roman"/>
          <w:sz w:val="24"/>
          <w:szCs w:val="24"/>
        </w:rPr>
        <w:t xml:space="preserve">  </w:t>
      </w:r>
    </w:p>
    <w:p w14:paraId="1483BE62" w14:textId="2B8B383F" w:rsidR="002836A6" w:rsidRPr="006514F5" w:rsidRDefault="00000000" w:rsidP="006514F5">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Ahmed, S. K., Mohammed, R. A., Nashwan, A. J., &amp; Ibrahim, R. H. (2025). </w:t>
      </w:r>
      <w:r>
        <w:rPr>
          <w:rFonts w:ascii="Times New Roman" w:eastAsia="Times New Roman" w:hAnsi="Times New Roman" w:cs="Times New Roman"/>
          <w:i/>
          <w:iCs/>
          <w:sz w:val="24"/>
          <w:szCs w:val="24"/>
        </w:rPr>
        <w:t xml:space="preserve">Using thematic </w:t>
      </w:r>
    </w:p>
    <w:p w14:paraId="1D2B6988"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analysis in qualitative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Medicine, Surgery, and Public Health, 6</w:t>
      </w:r>
      <w:r>
        <w:rPr>
          <w:rFonts w:ascii="Times New Roman" w:eastAsia="Times New Roman" w:hAnsi="Times New Roman" w:cs="Times New Roman"/>
          <w:sz w:val="24"/>
          <w:szCs w:val="24"/>
        </w:rPr>
        <w:t>, 100198.</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color w:val="1155CC"/>
            <w:sz w:val="24"/>
            <w:szCs w:val="24"/>
            <w:u w:val="single"/>
          </w:rPr>
          <w:t>https://doi.org/10.1016/j.glmedi.2025.100198</w:t>
        </w:r>
      </w:hyperlink>
    </w:p>
    <w:p w14:paraId="257C352A"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Aytaç, S., &amp; Aydın, G. Ç. (2019). Analysis of the effects of pull and push factors on brain </w:t>
      </w:r>
    </w:p>
    <w:p w14:paraId="29104CEC"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drain: An example of Turkey. </w:t>
      </w:r>
      <w:r>
        <w:rPr>
          <w:rFonts w:ascii="Times New Roman" w:eastAsia="Times New Roman" w:hAnsi="Times New Roman" w:cs="Times New Roman"/>
          <w:i/>
          <w:iCs/>
          <w:sz w:val="24"/>
          <w:szCs w:val="24"/>
        </w:rPr>
        <w:t>International Journal of Education and Practice, 7</w:t>
      </w:r>
      <w:r>
        <w:rPr>
          <w:rFonts w:ascii="Times New Roman" w:eastAsia="Times New Roman" w:hAnsi="Times New Roman" w:cs="Times New Roman"/>
          <w:sz w:val="24"/>
          <w:szCs w:val="24"/>
        </w:rPr>
        <w:t xml:space="preserve">(4), 365–379 </w:t>
      </w:r>
    </w:p>
    <w:p w14:paraId="7163CA34"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Azimzada, A. (2024). </w:t>
      </w:r>
      <w:r>
        <w:rPr>
          <w:rFonts w:ascii="Times New Roman" w:eastAsia="Times New Roman" w:hAnsi="Times New Roman" w:cs="Times New Roman"/>
          <w:i/>
          <w:iCs/>
          <w:sz w:val="24"/>
          <w:szCs w:val="24"/>
        </w:rPr>
        <w:t>The effect of war on the brain drain: The case of Russia</w:t>
      </w:r>
      <w:r>
        <w:rPr>
          <w:rFonts w:ascii="Times New Roman" w:eastAsia="Times New Roman" w:hAnsi="Times New Roman" w:cs="Times New Roman"/>
          <w:sz w:val="24"/>
          <w:szCs w:val="24"/>
        </w:rPr>
        <w:t xml:space="preserve"> [Unpublished </w:t>
      </w:r>
    </w:p>
    <w:p w14:paraId="1C51303E"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manuscript]. ResearchGate.</w:t>
      </w:r>
      <w:hyperlink r:id="rId17">
        <w:r>
          <w:rPr>
            <w:rFonts w:ascii="Times New Roman" w:eastAsia="Times New Roman" w:hAnsi="Times New Roman" w:cs="Times New Roman"/>
            <w:sz w:val="24"/>
            <w:szCs w:val="24"/>
          </w:rPr>
          <w:t xml:space="preserve"> </w:t>
        </w:r>
      </w:hyperlink>
      <w:hyperlink r:id="rId18">
        <w:r>
          <w:rPr>
            <w:rFonts w:ascii="Times New Roman" w:eastAsia="Times New Roman" w:hAnsi="Times New Roman" w:cs="Times New Roman"/>
            <w:color w:val="1155CC"/>
            <w:sz w:val="24"/>
            <w:szCs w:val="24"/>
            <w:u w:val="single"/>
          </w:rPr>
          <w:t>https://www.researchgate.net/publication/385084519_The_effect_of_war_on_the_brain_drain_the_case_of_Russia</w:t>
        </w:r>
      </w:hyperlink>
      <w:r>
        <w:rPr>
          <w:rFonts w:ascii="Times New Roman" w:eastAsia="Times New Roman" w:hAnsi="Times New Roman" w:cs="Times New Roman"/>
          <w:sz w:val="24"/>
          <w:szCs w:val="24"/>
        </w:rPr>
        <w:t xml:space="preserve"> </w:t>
      </w:r>
    </w:p>
    <w:p w14:paraId="71B47E08"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Arif, I. (2022). </w:t>
      </w:r>
      <w:r>
        <w:rPr>
          <w:rFonts w:ascii="Times New Roman" w:eastAsia="Times New Roman" w:hAnsi="Times New Roman" w:cs="Times New Roman"/>
          <w:i/>
          <w:iCs/>
          <w:sz w:val="24"/>
          <w:szCs w:val="24"/>
        </w:rPr>
        <w:t xml:space="preserve">Educational attainment, corruption, and migration: An empirical analysis </w:t>
      </w:r>
    </w:p>
    <w:p w14:paraId="3453EBFF"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from a gravity model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Economic Modelling, 110</w:t>
      </w:r>
      <w:r>
        <w:rPr>
          <w:rFonts w:ascii="Times New Roman" w:eastAsia="Times New Roman" w:hAnsi="Times New Roman" w:cs="Times New Roman"/>
          <w:sz w:val="24"/>
          <w:szCs w:val="24"/>
        </w:rPr>
        <w:t xml:space="preserve">, 105802. </w:t>
      </w:r>
      <w:hyperlink r:id="rId19">
        <w:r>
          <w:rPr>
            <w:rFonts w:ascii="Times New Roman" w:eastAsia="Times New Roman" w:hAnsi="Times New Roman" w:cs="Times New Roman"/>
            <w:color w:val="1155CC"/>
            <w:sz w:val="24"/>
            <w:szCs w:val="24"/>
            <w:u w:val="single"/>
          </w:rPr>
          <w:t>https://doi.org/10.1016/j.econmod.2022.105802</w:t>
        </w:r>
      </w:hyperlink>
      <w:r>
        <w:rPr>
          <w:rFonts w:ascii="Times New Roman" w:eastAsia="Times New Roman" w:hAnsi="Times New Roman" w:cs="Times New Roman"/>
          <w:sz w:val="24"/>
          <w:szCs w:val="24"/>
        </w:rPr>
        <w:t xml:space="preserve">  </w:t>
      </w:r>
    </w:p>
    <w:p w14:paraId="12916F7B"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Bakhyt, I. (2024, March 6). </w:t>
      </w:r>
      <w:r>
        <w:rPr>
          <w:rFonts w:ascii="Times New Roman" w:eastAsia="Times New Roman" w:hAnsi="Times New Roman" w:cs="Times New Roman"/>
          <w:i/>
          <w:iCs/>
          <w:sz w:val="24"/>
          <w:szCs w:val="24"/>
        </w:rPr>
        <w:t xml:space="preserve">Kak Kazakhstan poterial 35 tysiach uchenykh za gody </w:t>
      </w:r>
    </w:p>
    <w:p w14:paraId="706E6CFD"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nezavisimosti</w:t>
      </w:r>
      <w:r>
        <w:rPr>
          <w:rFonts w:ascii="Times New Roman" w:eastAsia="Times New Roman" w:hAnsi="Times New Roman" w:cs="Times New Roman"/>
          <w:sz w:val="24"/>
          <w:szCs w:val="24"/>
        </w:rPr>
        <w:t xml:space="preserve"> [How Kazakhstan lost 35 thousand scientists during the years of independence]. </w:t>
      </w:r>
      <w:r>
        <w:rPr>
          <w:rFonts w:ascii="Times New Roman" w:eastAsia="Times New Roman" w:hAnsi="Times New Roman" w:cs="Times New Roman"/>
          <w:i/>
          <w:iCs/>
          <w:sz w:val="24"/>
          <w:szCs w:val="24"/>
        </w:rPr>
        <w:t>Ulysmedia.kz</w:t>
      </w:r>
      <w:r>
        <w:rPr>
          <w:rFonts w:ascii="Times New Roman" w:eastAsia="Times New Roman" w:hAnsi="Times New Roman" w:cs="Times New Roman"/>
          <w:sz w:val="24"/>
          <w:szCs w:val="24"/>
        </w:rPr>
        <w:t>.</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color w:val="1155CC"/>
            <w:sz w:val="24"/>
            <w:szCs w:val="24"/>
            <w:u w:val="single"/>
          </w:rPr>
          <w:t>https://ulysmedia.kz/news/27810-kak-kazakhstan-poterial-35-tysiach-uchenykh-za-gody-nezavisimosti/</w:t>
        </w:r>
      </w:hyperlink>
      <w:r>
        <w:rPr>
          <w:rFonts w:ascii="Times New Roman" w:eastAsia="Times New Roman" w:hAnsi="Times New Roman" w:cs="Times New Roman"/>
          <w:sz w:val="24"/>
          <w:szCs w:val="24"/>
        </w:rPr>
        <w:t xml:space="preserve"> </w:t>
      </w:r>
    </w:p>
    <w:p w14:paraId="575825A9"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Beine, M., Docquier, F., &amp; Rapoport, H. (2001). Brain drain and economic growth: Theory </w:t>
      </w:r>
    </w:p>
    <w:p w14:paraId="6BA9B90E"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evidence. </w:t>
      </w:r>
      <w:r>
        <w:rPr>
          <w:rFonts w:ascii="Times New Roman" w:eastAsia="Times New Roman" w:hAnsi="Times New Roman" w:cs="Times New Roman"/>
          <w:i/>
          <w:iCs/>
          <w:sz w:val="24"/>
          <w:szCs w:val="24"/>
        </w:rPr>
        <w:t>Journal of Development Economics, 64</w:t>
      </w:r>
      <w:r>
        <w:rPr>
          <w:rFonts w:ascii="Times New Roman" w:eastAsia="Times New Roman" w:hAnsi="Times New Roman" w:cs="Times New Roman"/>
          <w:sz w:val="24"/>
          <w:szCs w:val="24"/>
        </w:rPr>
        <w:t xml:space="preserve">(1), 275–289. </w:t>
      </w:r>
      <w:hyperlink r:id="rId22">
        <w:r>
          <w:rPr>
            <w:rFonts w:ascii="Times New Roman" w:eastAsia="Times New Roman" w:hAnsi="Times New Roman" w:cs="Times New Roman"/>
            <w:color w:val="1155CC"/>
            <w:sz w:val="24"/>
            <w:szCs w:val="24"/>
            <w:u w:val="single"/>
          </w:rPr>
          <w:t>https://doi.org/10.1016/S0304-3878(00)00133-4</w:t>
        </w:r>
      </w:hyperlink>
      <w:r>
        <w:rPr>
          <w:rFonts w:ascii="Times New Roman" w:eastAsia="Times New Roman" w:hAnsi="Times New Roman" w:cs="Times New Roman"/>
          <w:sz w:val="24"/>
          <w:szCs w:val="24"/>
        </w:rPr>
        <w:t xml:space="preserve"> </w:t>
      </w:r>
    </w:p>
    <w:p w14:paraId="692D472B"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Bokayev, B. (2023). Brain drain among Kazakhstani youth and students abroad. </w:t>
      </w:r>
      <w:r>
        <w:rPr>
          <w:rFonts w:ascii="Times New Roman" w:eastAsia="Times New Roman" w:hAnsi="Times New Roman" w:cs="Times New Roman"/>
          <w:i/>
          <w:iCs/>
          <w:sz w:val="24"/>
          <w:szCs w:val="24"/>
        </w:rPr>
        <w:t xml:space="preserve">Journal of </w:t>
      </w:r>
    </w:p>
    <w:p w14:paraId="09102AD8" w14:textId="77777777" w:rsidR="002836A6" w:rsidRDefault="00000000" w:rsidP="006514F5">
      <w:pPr>
        <w:spacing w:after="0" w:line="240" w:lineRule="auto"/>
        <w:ind w:left="720"/>
        <w:rPr>
          <w:rFonts w:ascii="Times New Roman" w:eastAsia="Times New Roman" w:hAnsi="Times New Roman" w:cs="Times New Roman"/>
          <w:color w:val="1155CC"/>
          <w:sz w:val="24"/>
          <w:szCs w:val="24"/>
          <w:u w:val="single"/>
        </w:rPr>
      </w:pPr>
      <w:r>
        <w:rPr>
          <w:rFonts w:ascii="Times New Roman" w:eastAsia="Times New Roman" w:hAnsi="Times New Roman" w:cs="Times New Roman"/>
          <w:i/>
          <w:iCs/>
          <w:sz w:val="24"/>
          <w:szCs w:val="24"/>
        </w:rPr>
        <w:t>Social Studies Education Research, 14</w:t>
      </w:r>
      <w:r>
        <w:rPr>
          <w:rFonts w:ascii="Times New Roman" w:eastAsia="Times New Roman" w:hAnsi="Times New Roman" w:cs="Times New Roman"/>
          <w:sz w:val="24"/>
          <w:szCs w:val="24"/>
        </w:rPr>
        <w:t>(1), 1–20.</w:t>
      </w:r>
      <w:hyperlink r:id="rId23">
        <w:r>
          <w:rPr>
            <w:rFonts w:ascii="Times New Roman" w:eastAsia="Times New Roman" w:hAnsi="Times New Roman" w:cs="Times New Roman"/>
            <w:sz w:val="24"/>
            <w:szCs w:val="24"/>
          </w:rPr>
          <w:t xml:space="preserve"> </w:t>
        </w:r>
      </w:hyperlink>
      <w:hyperlink r:id="rId24">
        <w:r>
          <w:rPr>
            <w:rFonts w:ascii="Times New Roman" w:eastAsia="Times New Roman" w:hAnsi="Times New Roman" w:cs="Times New Roman"/>
            <w:color w:val="1155CC"/>
            <w:sz w:val="24"/>
            <w:szCs w:val="24"/>
            <w:u w:val="single"/>
          </w:rPr>
          <w:t>https://jsser.org/index.php/jsser/article/view/5226</w:t>
        </w:r>
      </w:hyperlink>
    </w:p>
    <w:p w14:paraId="4C485B5D"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Bokayev, B., et al. (2020). Brain drain among Bolashak graduates. </w:t>
      </w:r>
      <w:r>
        <w:rPr>
          <w:rFonts w:ascii="Times New Roman" w:eastAsia="Times New Roman" w:hAnsi="Times New Roman" w:cs="Times New Roman"/>
          <w:i/>
          <w:iCs/>
          <w:sz w:val="24"/>
          <w:szCs w:val="24"/>
        </w:rPr>
        <w:t xml:space="preserve">Higher Education Policy, </w:t>
      </w:r>
    </w:p>
    <w:p w14:paraId="0EE5CFC9"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33</w:t>
      </w:r>
      <w:r>
        <w:rPr>
          <w:rFonts w:ascii="Times New Roman" w:eastAsia="Times New Roman" w:hAnsi="Times New Roman" w:cs="Times New Roman"/>
          <w:sz w:val="24"/>
          <w:szCs w:val="24"/>
        </w:rPr>
        <w:t>(4), 567–589. https://doi.org/10.1057/s41307-019-00148-8</w:t>
      </w:r>
    </w:p>
    <w:p w14:paraId="2161130F"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Braun, V., &amp; Clarke, V. (2006). Using thematic analysis in psychology. </w:t>
      </w:r>
      <w:r>
        <w:rPr>
          <w:rFonts w:ascii="Times New Roman" w:eastAsia="Times New Roman" w:hAnsi="Times New Roman" w:cs="Times New Roman"/>
          <w:i/>
          <w:iCs/>
          <w:sz w:val="24"/>
          <w:szCs w:val="24"/>
        </w:rPr>
        <w:t xml:space="preserve">Qualitative Research </w:t>
      </w:r>
    </w:p>
    <w:p w14:paraId="2424F367" w14:textId="77777777" w:rsidR="002836A6" w:rsidRDefault="00000000" w:rsidP="006514F5">
      <w:pPr>
        <w:spacing w:after="0" w:line="240" w:lineRule="auto"/>
        <w:ind w:firstLine="720"/>
        <w:rPr>
          <w:rFonts w:ascii="Times New Roman" w:eastAsia="Times New Roman" w:hAnsi="Times New Roman" w:cs="Times New Roman"/>
          <w:color w:val="1155CC"/>
          <w:sz w:val="24"/>
          <w:szCs w:val="24"/>
          <w:u w:val="single"/>
        </w:rPr>
      </w:pPr>
      <w:r>
        <w:rPr>
          <w:rFonts w:ascii="Times New Roman" w:eastAsia="Times New Roman" w:hAnsi="Times New Roman" w:cs="Times New Roman"/>
          <w:i/>
          <w:iCs/>
          <w:sz w:val="24"/>
          <w:szCs w:val="24"/>
        </w:rPr>
        <w:t>in Psychology, 3</w:t>
      </w:r>
      <w:r>
        <w:rPr>
          <w:rFonts w:ascii="Times New Roman" w:eastAsia="Times New Roman" w:hAnsi="Times New Roman" w:cs="Times New Roman"/>
          <w:sz w:val="24"/>
          <w:szCs w:val="24"/>
        </w:rPr>
        <w:t>(2), 77–101.</w:t>
      </w:r>
      <w:hyperlink r:id="rId25">
        <w:r>
          <w:rPr>
            <w:rFonts w:ascii="Times New Roman" w:eastAsia="Times New Roman" w:hAnsi="Times New Roman" w:cs="Times New Roman"/>
            <w:sz w:val="24"/>
            <w:szCs w:val="24"/>
          </w:rPr>
          <w:t xml:space="preserve"> </w:t>
        </w:r>
      </w:hyperlink>
      <w:hyperlink r:id="rId26">
        <w:r>
          <w:rPr>
            <w:rFonts w:ascii="Times New Roman" w:eastAsia="Times New Roman" w:hAnsi="Times New Roman" w:cs="Times New Roman"/>
            <w:color w:val="1155CC"/>
            <w:sz w:val="24"/>
            <w:szCs w:val="24"/>
            <w:u w:val="single"/>
          </w:rPr>
          <w:t>https://doi.org/10.1191/1478088706qp063oa</w:t>
        </w:r>
      </w:hyperlink>
    </w:p>
    <w:p w14:paraId="389A7ECD"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Bureau of National Statistics of the Agency for Strategic Planning and Reforms of the </w:t>
      </w:r>
    </w:p>
    <w:p w14:paraId="19FF43C9"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Republic of Kazakhstan. (2024). </w:t>
      </w:r>
      <w:r>
        <w:rPr>
          <w:rFonts w:ascii="Times New Roman" w:eastAsia="Times New Roman" w:hAnsi="Times New Roman" w:cs="Times New Roman"/>
          <w:i/>
          <w:iCs/>
          <w:sz w:val="24"/>
          <w:szCs w:val="24"/>
        </w:rPr>
        <w:t>The migration of the population of the Republic of Kazakhstan</w:t>
      </w:r>
      <w:r>
        <w:rPr>
          <w:rFonts w:ascii="Times New Roman" w:eastAsia="Times New Roman" w:hAnsi="Times New Roman" w:cs="Times New Roman"/>
          <w:sz w:val="24"/>
          <w:szCs w:val="24"/>
        </w:rPr>
        <w:t>.</w:t>
      </w:r>
      <w:hyperlink r:id="rId27">
        <w:r>
          <w:rPr>
            <w:rFonts w:ascii="Times New Roman" w:eastAsia="Times New Roman" w:hAnsi="Times New Roman" w:cs="Times New Roman"/>
            <w:color w:val="1155CC"/>
            <w:sz w:val="24"/>
            <w:szCs w:val="24"/>
            <w:u w:val="single"/>
          </w:rPr>
          <w:t xml:space="preserve"> https://stat.gov.kz/</w:t>
        </w:r>
      </w:hyperlink>
      <w:r>
        <w:rPr>
          <w:rFonts w:ascii="Times New Roman" w:eastAsia="Times New Roman" w:hAnsi="Times New Roman" w:cs="Times New Roman"/>
          <w:color w:val="1155CC"/>
          <w:sz w:val="24"/>
          <w:szCs w:val="24"/>
          <w:u w:val="single"/>
        </w:rPr>
        <w:t xml:space="preserve"> </w:t>
      </w:r>
    </w:p>
    <w:p w14:paraId="70D82A2B"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Castles, S. (2004). Why migration policies fail. </w:t>
      </w:r>
      <w:r>
        <w:rPr>
          <w:rFonts w:ascii="Times New Roman" w:eastAsia="Times New Roman" w:hAnsi="Times New Roman" w:cs="Times New Roman"/>
          <w:i/>
          <w:iCs/>
          <w:sz w:val="24"/>
          <w:szCs w:val="24"/>
        </w:rPr>
        <w:t>Ethnic and Racial Studies, 27</w:t>
      </w:r>
      <w:r>
        <w:rPr>
          <w:rFonts w:ascii="Times New Roman" w:eastAsia="Times New Roman" w:hAnsi="Times New Roman" w:cs="Times New Roman"/>
          <w:sz w:val="24"/>
          <w:szCs w:val="24"/>
        </w:rPr>
        <w:t xml:space="preserve">(2), 205–227. </w:t>
      </w:r>
    </w:p>
    <w:p w14:paraId="2FD69DA5" w14:textId="77777777" w:rsidR="002836A6" w:rsidRDefault="00000000" w:rsidP="006514F5">
      <w:pPr>
        <w:spacing w:after="0" w:line="240" w:lineRule="auto"/>
        <w:ind w:firstLine="720"/>
        <w:rPr>
          <w:rFonts w:ascii="Times New Roman" w:eastAsia="Times New Roman" w:hAnsi="Times New Roman" w:cs="Times New Roman"/>
          <w:sz w:val="24"/>
          <w:szCs w:val="24"/>
        </w:rPr>
      </w:pPr>
      <w:hyperlink r:id="rId28">
        <w:r>
          <w:rPr>
            <w:rFonts w:ascii="Times New Roman" w:eastAsia="Times New Roman" w:hAnsi="Times New Roman" w:cs="Times New Roman"/>
            <w:sz w:val="24"/>
            <w:szCs w:val="24"/>
            <w:u w:val="single"/>
          </w:rPr>
          <w:t>https://doi.org/10.1080/0141987042000177306</w:t>
        </w:r>
      </w:hyperlink>
      <w:r>
        <w:rPr>
          <w:rFonts w:ascii="Times New Roman" w:eastAsia="Times New Roman" w:hAnsi="Times New Roman" w:cs="Times New Roman"/>
          <w:sz w:val="24"/>
          <w:szCs w:val="24"/>
        </w:rPr>
        <w:t xml:space="preserve"> </w:t>
      </w:r>
    </w:p>
    <w:p w14:paraId="576A9DAE"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Castles, S., de Haas, H., &amp; Miller, M. J. (2020). </w:t>
      </w:r>
      <w:r>
        <w:rPr>
          <w:rFonts w:ascii="Times New Roman" w:eastAsia="Times New Roman" w:hAnsi="Times New Roman" w:cs="Times New Roman"/>
          <w:i/>
          <w:iCs/>
          <w:sz w:val="24"/>
          <w:szCs w:val="24"/>
        </w:rPr>
        <w:t xml:space="preserve">The age of migration: International </w:t>
      </w:r>
    </w:p>
    <w:p w14:paraId="302FF4C7"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population movements in the modern world</w:t>
      </w:r>
      <w:r>
        <w:rPr>
          <w:rFonts w:ascii="Times New Roman" w:eastAsia="Times New Roman" w:hAnsi="Times New Roman" w:cs="Times New Roman"/>
          <w:sz w:val="24"/>
          <w:szCs w:val="24"/>
        </w:rPr>
        <w:t xml:space="preserve"> (6th ed.). Guilford Press.</w:t>
      </w:r>
    </w:p>
    <w:p w14:paraId="3ACE4498"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Ciorbagiu, I., Stoica, A., &amp; Mihaila, M. (2020). Life satisfaction and migration – What </w:t>
      </w:r>
    </w:p>
    <w:p w14:paraId="162A4DF1"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relationship? </w:t>
      </w:r>
      <w:r>
        <w:rPr>
          <w:rFonts w:ascii="Times New Roman" w:eastAsia="Times New Roman" w:hAnsi="Times New Roman" w:cs="Times New Roman"/>
          <w:i/>
          <w:iCs/>
          <w:sz w:val="24"/>
          <w:szCs w:val="24"/>
        </w:rPr>
        <w:t>Journal of Smart Economic Growth, 9</w:t>
      </w:r>
      <w:r>
        <w:rPr>
          <w:rFonts w:ascii="Times New Roman" w:eastAsia="Times New Roman" w:hAnsi="Times New Roman" w:cs="Times New Roman"/>
          <w:sz w:val="24"/>
          <w:szCs w:val="24"/>
        </w:rPr>
        <w:t xml:space="preserve">(1), 105–127 </w:t>
      </w:r>
    </w:p>
    <w:p w14:paraId="6FFCDE68"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Czaika, M., &amp; de Haas, H. (2014). The globalization of migration. </w:t>
      </w:r>
      <w:r>
        <w:rPr>
          <w:rFonts w:ascii="Times New Roman" w:eastAsia="Times New Roman" w:hAnsi="Times New Roman" w:cs="Times New Roman"/>
          <w:i/>
          <w:iCs/>
          <w:sz w:val="24"/>
          <w:szCs w:val="24"/>
        </w:rPr>
        <w:t xml:space="preserve">International Migration </w:t>
      </w:r>
    </w:p>
    <w:p w14:paraId="52ED1D0A"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Review, 48</w:t>
      </w:r>
      <w:r>
        <w:rPr>
          <w:rFonts w:ascii="Times New Roman" w:eastAsia="Times New Roman" w:hAnsi="Times New Roman" w:cs="Times New Roman"/>
          <w:sz w:val="24"/>
          <w:szCs w:val="24"/>
        </w:rPr>
        <w:t xml:space="preserve">(2), 283–323. </w:t>
      </w:r>
      <w:hyperlink r:id="rId29">
        <w:r>
          <w:rPr>
            <w:rFonts w:ascii="Times New Roman" w:eastAsia="Times New Roman" w:hAnsi="Times New Roman" w:cs="Times New Roman"/>
            <w:sz w:val="24"/>
            <w:szCs w:val="24"/>
            <w:u w:val="single"/>
          </w:rPr>
          <w:t>https://doi.org/10.1111/imre.12095</w:t>
        </w:r>
      </w:hyperlink>
      <w:r>
        <w:rPr>
          <w:rFonts w:ascii="Times New Roman" w:eastAsia="Times New Roman" w:hAnsi="Times New Roman" w:cs="Times New Roman"/>
          <w:sz w:val="24"/>
          <w:szCs w:val="24"/>
        </w:rPr>
        <w:t xml:space="preserve">  </w:t>
      </w:r>
    </w:p>
    <w:p w14:paraId="6D7FD9C7"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F., Wong, Z. W. V., &amp; Law, S. H. (2024). Brain drain: What is the role of institutions? </w:t>
      </w:r>
    </w:p>
    <w:p w14:paraId="5CD29CA1"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Journal of Industrial and Business Economics, 51</w:t>
      </w:r>
      <w:r>
        <w:rPr>
          <w:rFonts w:ascii="Times New Roman" w:eastAsia="Times New Roman" w:hAnsi="Times New Roman" w:cs="Times New Roman"/>
          <w:sz w:val="24"/>
          <w:szCs w:val="24"/>
        </w:rPr>
        <w:t xml:space="preserve">(3), 605–628. </w:t>
      </w:r>
      <w:hyperlink r:id="rId30">
        <w:r>
          <w:rPr>
            <w:rFonts w:ascii="Times New Roman" w:eastAsia="Times New Roman" w:hAnsi="Times New Roman" w:cs="Times New Roman"/>
            <w:color w:val="1155CC"/>
            <w:sz w:val="24"/>
            <w:szCs w:val="24"/>
            <w:u w:val="single"/>
          </w:rPr>
          <w:t>https://doi.org/10.1007/s40812-023-00286-w</w:t>
        </w:r>
      </w:hyperlink>
      <w:r>
        <w:rPr>
          <w:rFonts w:ascii="Times New Roman" w:eastAsia="Times New Roman" w:hAnsi="Times New Roman" w:cs="Times New Roman"/>
          <w:sz w:val="24"/>
          <w:szCs w:val="24"/>
        </w:rPr>
        <w:t xml:space="preserve"> </w:t>
      </w:r>
    </w:p>
    <w:p w14:paraId="16CFB7B7"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Chernykh, I., &amp; Burnashev, R. (2020). </w:t>
      </w:r>
      <w:r>
        <w:rPr>
          <w:rFonts w:ascii="Times New Roman" w:eastAsia="Times New Roman" w:hAnsi="Times New Roman" w:cs="Times New Roman"/>
          <w:i/>
          <w:iCs/>
          <w:sz w:val="24"/>
          <w:szCs w:val="24"/>
        </w:rPr>
        <w:t>Kazakhstan: Extended migration profile 2014–2019</w:t>
      </w:r>
      <w:r>
        <w:rPr>
          <w:rFonts w:ascii="Times New Roman" w:eastAsia="Times New Roman" w:hAnsi="Times New Roman" w:cs="Times New Roman"/>
          <w:sz w:val="24"/>
          <w:szCs w:val="24"/>
        </w:rPr>
        <w:t xml:space="preserve">. </w:t>
      </w:r>
    </w:p>
    <w:p w14:paraId="39C7982F"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Organization for Migration (IOM), Mission in Kazakhstan – Subregional Coordination Office for Central Asia. </w:t>
      </w:r>
    </w:p>
    <w:p w14:paraId="39261F76"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Chekabayeva, A. (2022). </w:t>
      </w:r>
      <w:r>
        <w:rPr>
          <w:rFonts w:ascii="Times New Roman" w:eastAsia="Times New Roman" w:hAnsi="Times New Roman" w:cs="Times New Roman"/>
          <w:i/>
          <w:iCs/>
          <w:sz w:val="24"/>
          <w:szCs w:val="24"/>
        </w:rPr>
        <w:t>Factors influencing the issue of “brain drain”: Case of Kazakhstan</w:t>
      </w:r>
      <w:r>
        <w:rPr>
          <w:rFonts w:ascii="Times New Roman" w:eastAsia="Times New Roman" w:hAnsi="Times New Roman" w:cs="Times New Roman"/>
          <w:sz w:val="24"/>
          <w:szCs w:val="24"/>
        </w:rPr>
        <w:t xml:space="preserve"> </w:t>
      </w:r>
    </w:p>
    <w:p w14:paraId="0691CA49"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(Master’s thesis, Ca’ Foscari University of Venice). </w:t>
      </w:r>
    </w:p>
    <w:p w14:paraId="220A12E3"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de Haas, H. (2011). </w:t>
      </w:r>
      <w:r>
        <w:rPr>
          <w:rFonts w:ascii="Times New Roman" w:eastAsia="Times New Roman" w:hAnsi="Times New Roman" w:cs="Times New Roman"/>
          <w:i/>
          <w:iCs/>
          <w:sz w:val="24"/>
          <w:szCs w:val="24"/>
        </w:rPr>
        <w:t xml:space="preserve">The determinants of international migration: Conceptualising policy, </w:t>
      </w:r>
    </w:p>
    <w:p w14:paraId="77834310"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origin and destination effects</w:t>
      </w:r>
      <w:r>
        <w:rPr>
          <w:rFonts w:ascii="Times New Roman" w:eastAsia="Times New Roman" w:hAnsi="Times New Roman" w:cs="Times New Roman"/>
          <w:sz w:val="24"/>
          <w:szCs w:val="24"/>
        </w:rPr>
        <w:t xml:space="preserve"> (IMI Working Paper No. 32). International Migration Institute, University of Oxford. </w:t>
      </w:r>
      <w:hyperlink r:id="rId31">
        <w:r>
          <w:rPr>
            <w:rFonts w:ascii="Times New Roman" w:eastAsia="Times New Roman" w:hAnsi="Times New Roman" w:cs="Times New Roman"/>
            <w:color w:val="1155CC"/>
            <w:sz w:val="24"/>
            <w:szCs w:val="24"/>
            <w:u w:val="single"/>
          </w:rPr>
          <w:t>https://ora.ox.ac.uk/objects/uuid:0b10d9e8-810e-4f49-b76f-ba4d6b1faa86</w:t>
        </w:r>
      </w:hyperlink>
      <w:r>
        <w:rPr>
          <w:rFonts w:ascii="Times New Roman" w:eastAsia="Times New Roman" w:hAnsi="Times New Roman" w:cs="Times New Roman"/>
          <w:sz w:val="24"/>
          <w:szCs w:val="24"/>
        </w:rPr>
        <w:t xml:space="preserve">  </w:t>
      </w:r>
    </w:p>
    <w:p w14:paraId="01B0AA49"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Docquier, F., Lohest, O., &amp; Marfouk, A. (2007). Brain drain in developing countries. </w:t>
      </w:r>
      <w:r>
        <w:rPr>
          <w:rFonts w:ascii="Times New Roman" w:eastAsia="Times New Roman" w:hAnsi="Times New Roman" w:cs="Times New Roman"/>
          <w:i/>
          <w:iCs/>
          <w:sz w:val="24"/>
          <w:szCs w:val="24"/>
        </w:rPr>
        <w:t xml:space="preserve">World </w:t>
      </w:r>
    </w:p>
    <w:p w14:paraId="71817487"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Bank Economic Review, 21</w:t>
      </w:r>
      <w:r>
        <w:rPr>
          <w:rFonts w:ascii="Times New Roman" w:eastAsia="Times New Roman" w:hAnsi="Times New Roman" w:cs="Times New Roman"/>
          <w:sz w:val="24"/>
          <w:szCs w:val="24"/>
        </w:rPr>
        <w:t xml:space="preserve">(2), 193–218. </w:t>
      </w:r>
      <w:hyperlink r:id="rId32">
        <w:r>
          <w:rPr>
            <w:rFonts w:ascii="Times New Roman" w:eastAsia="Times New Roman" w:hAnsi="Times New Roman" w:cs="Times New Roman"/>
            <w:color w:val="1155CC"/>
            <w:sz w:val="24"/>
            <w:szCs w:val="24"/>
            <w:u w:val="single"/>
          </w:rPr>
          <w:t>https://doi.org/10.1093/wber/lhm008</w:t>
        </w:r>
      </w:hyperlink>
      <w:r>
        <w:rPr>
          <w:rFonts w:ascii="Times New Roman" w:eastAsia="Times New Roman" w:hAnsi="Times New Roman" w:cs="Times New Roman"/>
          <w:sz w:val="24"/>
          <w:szCs w:val="24"/>
        </w:rPr>
        <w:t xml:space="preserve"> </w:t>
      </w:r>
    </w:p>
    <w:p w14:paraId="0E60603A"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Dodani, S., &amp; LaPorte, R. E. (2005). Brain drain from developing countries: How can brain </w:t>
      </w:r>
    </w:p>
    <w:p w14:paraId="22583AF5"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drain be converted into wisdom gain? </w:t>
      </w:r>
      <w:r>
        <w:rPr>
          <w:rFonts w:ascii="Times New Roman" w:eastAsia="Times New Roman" w:hAnsi="Times New Roman" w:cs="Times New Roman"/>
          <w:i/>
          <w:iCs/>
          <w:sz w:val="24"/>
          <w:szCs w:val="24"/>
        </w:rPr>
        <w:t>Journal of the Royal Society of Medicine, 98</w:t>
      </w:r>
      <w:r>
        <w:rPr>
          <w:rFonts w:ascii="Times New Roman" w:eastAsia="Times New Roman" w:hAnsi="Times New Roman" w:cs="Times New Roman"/>
          <w:sz w:val="24"/>
          <w:szCs w:val="24"/>
        </w:rPr>
        <w:t xml:space="preserve">(11), 487–491. https://doi.org/10.1177/014107680509801107 </w:t>
      </w:r>
    </w:p>
    <w:p w14:paraId="2DDA9116"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Duszczyk, M. (Ed.). (2019). </w:t>
      </w:r>
      <w:r>
        <w:rPr>
          <w:rFonts w:ascii="Times New Roman" w:eastAsia="Times New Roman" w:hAnsi="Times New Roman" w:cs="Times New Roman"/>
          <w:i/>
          <w:iCs/>
          <w:sz w:val="24"/>
          <w:szCs w:val="24"/>
        </w:rPr>
        <w:t xml:space="preserve">Why do people migrate? Labour market security and migration </w:t>
      </w:r>
    </w:p>
    <w:p w14:paraId="34FCC8CB"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decisions</w:t>
      </w:r>
      <w:r>
        <w:rPr>
          <w:rFonts w:ascii="Times New Roman" w:eastAsia="Times New Roman" w:hAnsi="Times New Roman" w:cs="Times New Roman"/>
          <w:sz w:val="24"/>
          <w:szCs w:val="24"/>
        </w:rPr>
        <w:t xml:space="preserve">. Emerald Publishing. https://doi.org/10.1108/9781838677473 </w:t>
      </w:r>
    </w:p>
    <w:p w14:paraId="60AFD861"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Fetzer, J. S., &amp; Millan, B. A. (2015). </w:t>
      </w:r>
      <w:r>
        <w:rPr>
          <w:rFonts w:ascii="Times New Roman" w:eastAsia="Times New Roman" w:hAnsi="Times New Roman" w:cs="Times New Roman"/>
          <w:i/>
          <w:iCs/>
          <w:sz w:val="24"/>
          <w:szCs w:val="24"/>
        </w:rPr>
        <w:t xml:space="preserve">The causes of emigration from Singapore: How much is </w:t>
      </w:r>
    </w:p>
    <w:p w14:paraId="550CE9C3"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still political?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Critical Asian Studies, 47</w:t>
      </w:r>
      <w:r>
        <w:rPr>
          <w:rFonts w:ascii="Times New Roman" w:eastAsia="Times New Roman" w:hAnsi="Times New Roman" w:cs="Times New Roman"/>
          <w:sz w:val="24"/>
          <w:szCs w:val="24"/>
        </w:rPr>
        <w:t xml:space="preserve">(3), 462–476. </w:t>
      </w:r>
      <w:hyperlink r:id="rId33">
        <w:r>
          <w:rPr>
            <w:rFonts w:ascii="Times New Roman" w:eastAsia="Times New Roman" w:hAnsi="Times New Roman" w:cs="Times New Roman"/>
            <w:color w:val="1155CC"/>
            <w:sz w:val="24"/>
            <w:szCs w:val="24"/>
            <w:u w:val="single"/>
          </w:rPr>
          <w:t>https://doi.org/10.1080/14672715.2015.1057029</w:t>
        </w:r>
      </w:hyperlink>
      <w:r>
        <w:rPr>
          <w:rFonts w:ascii="Times New Roman" w:eastAsia="Times New Roman" w:hAnsi="Times New Roman" w:cs="Times New Roman"/>
          <w:sz w:val="24"/>
          <w:szCs w:val="24"/>
        </w:rPr>
        <w:t xml:space="preserve">  </w:t>
      </w:r>
    </w:p>
    <w:p w14:paraId="6B70C696"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R. B. (2010). Globalization of scientific and engineering talent: International </w:t>
      </w:r>
    </w:p>
    <w:p w14:paraId="607F6625"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mobility of students, workers, and ideas and the world economy. </w:t>
      </w:r>
      <w:r>
        <w:rPr>
          <w:rFonts w:ascii="Times New Roman" w:eastAsia="Times New Roman" w:hAnsi="Times New Roman" w:cs="Times New Roman"/>
          <w:i/>
          <w:iCs/>
          <w:sz w:val="24"/>
          <w:szCs w:val="24"/>
        </w:rPr>
        <w:t>Economics of Innovation and New Technology, 19</w:t>
      </w:r>
      <w:r>
        <w:rPr>
          <w:rFonts w:ascii="Times New Roman" w:eastAsia="Times New Roman" w:hAnsi="Times New Roman" w:cs="Times New Roman"/>
          <w:sz w:val="24"/>
          <w:szCs w:val="24"/>
        </w:rPr>
        <w:t xml:space="preserve">(5), 393–406. </w:t>
      </w:r>
      <w:hyperlink r:id="rId34">
        <w:r>
          <w:rPr>
            <w:rFonts w:ascii="Times New Roman" w:eastAsia="Times New Roman" w:hAnsi="Times New Roman" w:cs="Times New Roman"/>
            <w:color w:val="1155CC"/>
            <w:sz w:val="24"/>
            <w:szCs w:val="24"/>
            <w:u w:val="single"/>
          </w:rPr>
          <w:t>https://doi.org/10.1080/10438590903432871</w:t>
        </w:r>
      </w:hyperlink>
      <w:r>
        <w:rPr>
          <w:rFonts w:ascii="Times New Roman" w:eastAsia="Times New Roman" w:hAnsi="Times New Roman" w:cs="Times New Roman"/>
          <w:sz w:val="24"/>
          <w:szCs w:val="24"/>
        </w:rPr>
        <w:t xml:space="preserve"> </w:t>
      </w:r>
    </w:p>
    <w:p w14:paraId="127E8AD0"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Ganguli, I. (2015). Scientific brain drain and human capital formation after the end of the </w:t>
      </w:r>
    </w:p>
    <w:p w14:paraId="1B9FFA39"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Soviet Union. </w:t>
      </w:r>
      <w:r>
        <w:rPr>
          <w:rFonts w:ascii="Times New Roman" w:eastAsia="Times New Roman" w:hAnsi="Times New Roman" w:cs="Times New Roman"/>
          <w:i/>
          <w:iCs/>
          <w:sz w:val="24"/>
          <w:szCs w:val="24"/>
        </w:rPr>
        <w:t>International Migration, 53</w:t>
      </w:r>
      <w:r>
        <w:rPr>
          <w:rFonts w:ascii="Times New Roman" w:eastAsia="Times New Roman" w:hAnsi="Times New Roman" w:cs="Times New Roman"/>
          <w:sz w:val="24"/>
          <w:szCs w:val="24"/>
        </w:rPr>
        <w:t xml:space="preserve">(5), 95–110. </w:t>
      </w:r>
      <w:hyperlink r:id="rId35">
        <w:r>
          <w:rPr>
            <w:rFonts w:ascii="Times New Roman" w:eastAsia="Times New Roman" w:hAnsi="Times New Roman" w:cs="Times New Roman"/>
            <w:color w:val="1155CC"/>
            <w:sz w:val="24"/>
            <w:szCs w:val="24"/>
            <w:u w:val="single"/>
          </w:rPr>
          <w:t>https://doi.org/10.1111/imig.12165</w:t>
        </w:r>
      </w:hyperlink>
      <w:r>
        <w:rPr>
          <w:rFonts w:ascii="Times New Roman" w:eastAsia="Times New Roman" w:hAnsi="Times New Roman" w:cs="Times New Roman"/>
          <w:sz w:val="24"/>
          <w:szCs w:val="24"/>
        </w:rPr>
        <w:t xml:space="preserve"> </w:t>
      </w:r>
    </w:p>
    <w:p w14:paraId="634F1A12"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Government of the Republic of Kazakhstan. (2022). </w:t>
      </w:r>
      <w:r>
        <w:rPr>
          <w:rFonts w:ascii="Times New Roman" w:eastAsia="Times New Roman" w:hAnsi="Times New Roman" w:cs="Times New Roman"/>
          <w:i/>
          <w:iCs/>
          <w:sz w:val="24"/>
          <w:szCs w:val="24"/>
        </w:rPr>
        <w:t xml:space="preserve">Concept of the migration policy of the </w:t>
      </w:r>
    </w:p>
    <w:p w14:paraId="6CA81BAC"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Republic of Kazakhstan for 2023–2027</w:t>
      </w:r>
      <w:r>
        <w:rPr>
          <w:rFonts w:ascii="Times New Roman" w:eastAsia="Times New Roman" w:hAnsi="Times New Roman" w:cs="Times New Roman"/>
          <w:sz w:val="24"/>
          <w:szCs w:val="24"/>
        </w:rPr>
        <w:t xml:space="preserve"> [Government policy document]. Government of the Republic of Kazakhstan. </w:t>
      </w:r>
    </w:p>
    <w:p w14:paraId="083A8E59"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 W., Yi, J., &amp; Zhang, J. (2016). Brain drain, brain gain, and economic growth in China. </w:t>
      </w:r>
    </w:p>
    <w:p w14:paraId="49739F5C" w14:textId="77777777" w:rsidR="002836A6" w:rsidRDefault="00000000" w:rsidP="006514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China Economic Review, 38</w:t>
      </w:r>
      <w:r>
        <w:rPr>
          <w:rFonts w:ascii="Times New Roman" w:eastAsia="Times New Roman" w:hAnsi="Times New Roman" w:cs="Times New Roman"/>
          <w:sz w:val="24"/>
          <w:szCs w:val="24"/>
        </w:rPr>
        <w:t xml:space="preserve">, 322–337. </w:t>
      </w:r>
      <w:hyperlink r:id="rId36">
        <w:r>
          <w:rPr>
            <w:rFonts w:ascii="Times New Roman" w:eastAsia="Times New Roman" w:hAnsi="Times New Roman" w:cs="Times New Roman"/>
            <w:color w:val="1155CC"/>
            <w:sz w:val="24"/>
            <w:szCs w:val="24"/>
            <w:u w:val="single"/>
          </w:rPr>
          <w:t>https://doi.org/10.1016/j.chieco.2015.02.005</w:t>
        </w:r>
      </w:hyperlink>
      <w:r>
        <w:rPr>
          <w:rFonts w:ascii="Times New Roman" w:eastAsia="Times New Roman" w:hAnsi="Times New Roman" w:cs="Times New Roman"/>
          <w:sz w:val="24"/>
          <w:szCs w:val="24"/>
        </w:rPr>
        <w:t xml:space="preserve">  </w:t>
      </w:r>
    </w:p>
    <w:p w14:paraId="73B55AA5"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Helliwell, J. F., Layard, R., &amp; Sachs, J. D. (Eds.). (2018). </w:t>
      </w:r>
      <w:r>
        <w:rPr>
          <w:rFonts w:ascii="Times New Roman" w:eastAsia="Times New Roman" w:hAnsi="Times New Roman" w:cs="Times New Roman"/>
          <w:i/>
          <w:iCs/>
          <w:sz w:val="24"/>
          <w:szCs w:val="24"/>
        </w:rPr>
        <w:t>World happiness report 2018</w:t>
      </w:r>
      <w:r>
        <w:rPr>
          <w:rFonts w:ascii="Times New Roman" w:eastAsia="Times New Roman" w:hAnsi="Times New Roman" w:cs="Times New Roman"/>
          <w:sz w:val="24"/>
          <w:szCs w:val="24"/>
        </w:rPr>
        <w:t xml:space="preserve">. </w:t>
      </w:r>
    </w:p>
    <w:p w14:paraId="0F635E0F"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Development Solutions Network.</w:t>
      </w:r>
      <w:hyperlink r:id="rId37">
        <w:r>
          <w:rPr>
            <w:rFonts w:ascii="Times New Roman" w:eastAsia="Times New Roman" w:hAnsi="Times New Roman" w:cs="Times New Roman"/>
            <w:sz w:val="24"/>
            <w:szCs w:val="24"/>
          </w:rPr>
          <w:t xml:space="preserve"> </w:t>
        </w:r>
      </w:hyperlink>
      <w:hyperlink r:id="rId38">
        <w:r>
          <w:rPr>
            <w:rFonts w:ascii="Times New Roman" w:eastAsia="Times New Roman" w:hAnsi="Times New Roman" w:cs="Times New Roman"/>
            <w:color w:val="1155CC"/>
            <w:sz w:val="24"/>
            <w:szCs w:val="24"/>
            <w:u w:val="single"/>
          </w:rPr>
          <w:t>https://files.worldhappiness.report/WHR18.pdf</w:t>
        </w:r>
      </w:hyperlink>
      <w:r>
        <w:rPr>
          <w:rFonts w:ascii="Times New Roman" w:eastAsia="Times New Roman" w:hAnsi="Times New Roman" w:cs="Times New Roman"/>
          <w:sz w:val="24"/>
          <w:szCs w:val="24"/>
        </w:rPr>
        <w:t xml:space="preserve"> </w:t>
      </w:r>
    </w:p>
    <w:p w14:paraId="721C3180"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 Development National Center. (n.d.). Academic development programs.</w:t>
      </w:r>
      <w:hyperlink r:id="rId39">
        <w:r>
          <w:rPr>
            <w:rFonts w:ascii="Times New Roman" w:eastAsia="Times New Roman" w:hAnsi="Times New Roman" w:cs="Times New Roman"/>
            <w:sz w:val="24"/>
            <w:szCs w:val="24"/>
          </w:rPr>
          <w:t xml:space="preserve"> </w:t>
        </w:r>
      </w:hyperlink>
    </w:p>
    <w:p w14:paraId="3EA3E35A" w14:textId="77777777" w:rsidR="002836A6" w:rsidRDefault="00000000" w:rsidP="006514F5">
      <w:pPr>
        <w:spacing w:after="0" w:line="240" w:lineRule="auto"/>
        <w:ind w:firstLine="720"/>
        <w:rPr>
          <w:rFonts w:ascii="Times New Roman" w:eastAsia="Times New Roman" w:hAnsi="Times New Roman" w:cs="Times New Roman"/>
          <w:color w:val="1155CC"/>
          <w:sz w:val="24"/>
          <w:szCs w:val="24"/>
          <w:u w:val="single"/>
        </w:rPr>
      </w:pPr>
      <w:hyperlink r:id="rId40">
        <w:r>
          <w:rPr>
            <w:rFonts w:ascii="Times New Roman" w:eastAsia="Times New Roman" w:hAnsi="Times New Roman" w:cs="Times New Roman"/>
            <w:color w:val="1155CC"/>
            <w:sz w:val="24"/>
            <w:szCs w:val="24"/>
            <w:u w:val="single"/>
          </w:rPr>
          <w:t>https://enic-kazakhstan.edu.kz</w:t>
        </w:r>
      </w:hyperlink>
    </w:p>
    <w:p w14:paraId="3055C43F" w14:textId="77777777" w:rsidR="002836A6" w:rsidRDefault="00000000" w:rsidP="00651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Hsieh, C.-T., &amp; Liu, B.-C. (1983). The pursuance of better quality of life: In the long run, </w:t>
      </w:r>
    </w:p>
    <w:p w14:paraId="6556627A" w14:textId="77777777" w:rsidR="002836A6" w:rsidRDefault="00000000" w:rsidP="006514F5">
      <w:pPr>
        <w:spacing w:after="0" w:line="240" w:lineRule="auto"/>
        <w:ind w:lef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better quality of social life is the most important factor in migration. </w:t>
      </w:r>
      <w:r>
        <w:rPr>
          <w:rFonts w:ascii="Times New Roman" w:eastAsia="Times New Roman" w:hAnsi="Times New Roman" w:cs="Times New Roman"/>
          <w:i/>
          <w:iCs/>
          <w:sz w:val="24"/>
          <w:szCs w:val="24"/>
        </w:rPr>
        <w:t>American Journal of Economics and Sociology, 42</w:t>
      </w:r>
      <w:r>
        <w:rPr>
          <w:rFonts w:ascii="Times New Roman" w:eastAsia="Times New Roman" w:hAnsi="Times New Roman" w:cs="Times New Roman"/>
          <w:sz w:val="24"/>
          <w:szCs w:val="24"/>
        </w:rPr>
        <w:t xml:space="preserve">(4), 431–440. </w:t>
      </w:r>
      <w:r>
        <w:rPr>
          <w:rFonts w:ascii="Times New Roman" w:eastAsia="Times New Roman" w:hAnsi="Times New Roman" w:cs="Times New Roman"/>
          <w:color w:val="1155CC"/>
          <w:sz w:val="24"/>
          <w:szCs w:val="24"/>
          <w:u w:val="single"/>
        </w:rPr>
        <w:t>https://doi.org/10.1111/j.1536-7150.1983.tb01730.x</w:t>
      </w:r>
    </w:p>
    <w:p w14:paraId="3E0CC800"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Hoti, A. (2009). Determinants of emigration and its economic consequences: Evidence from </w:t>
      </w:r>
    </w:p>
    <w:p w14:paraId="0B616E23" w14:textId="77777777" w:rsidR="002836A6" w:rsidRDefault="00000000" w:rsidP="006514F5">
      <w:pPr>
        <w:spacing w:after="0" w:line="240" w:lineRule="auto"/>
        <w:ind w:left="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Kosova. </w:t>
      </w:r>
      <w:r>
        <w:rPr>
          <w:rFonts w:ascii="Times New Roman" w:eastAsia="Times New Roman" w:hAnsi="Times New Roman" w:cs="Times New Roman"/>
          <w:i/>
          <w:iCs/>
          <w:sz w:val="24"/>
          <w:szCs w:val="24"/>
        </w:rPr>
        <w:t>Southeast European and Black Sea Studies, 9</w:t>
      </w:r>
      <w:r>
        <w:rPr>
          <w:rFonts w:ascii="Times New Roman" w:eastAsia="Times New Roman" w:hAnsi="Times New Roman" w:cs="Times New Roman"/>
          <w:sz w:val="24"/>
          <w:szCs w:val="24"/>
        </w:rPr>
        <w:t>(4), 435–458.</w:t>
      </w:r>
      <w:hyperlink r:id="rId41">
        <w:r>
          <w:rPr>
            <w:rFonts w:ascii="Times New Roman" w:eastAsia="Times New Roman" w:hAnsi="Times New Roman" w:cs="Times New Roman"/>
            <w:sz w:val="24"/>
            <w:szCs w:val="24"/>
          </w:rPr>
          <w:t xml:space="preserve"> </w:t>
        </w:r>
      </w:hyperlink>
      <w:hyperlink r:id="rId42">
        <w:r>
          <w:rPr>
            <w:rFonts w:ascii="Times New Roman" w:eastAsia="Times New Roman" w:hAnsi="Times New Roman" w:cs="Times New Roman"/>
            <w:color w:val="1155CC"/>
            <w:sz w:val="24"/>
            <w:szCs w:val="24"/>
            <w:u w:val="single"/>
          </w:rPr>
          <w:t>https://doi.org/10.1080/14683850903314931</w:t>
        </w:r>
      </w:hyperlink>
      <w:r>
        <w:rPr>
          <w:rFonts w:ascii="Times New Roman" w:eastAsia="Times New Roman" w:hAnsi="Times New Roman" w:cs="Times New Roman"/>
          <w:color w:val="1155CC"/>
          <w:sz w:val="24"/>
          <w:szCs w:val="24"/>
          <w:u w:val="single"/>
        </w:rPr>
        <w:t xml:space="preserve"> </w:t>
      </w:r>
    </w:p>
    <w:p w14:paraId="33CAE8CB"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Ibrahim, H., Al Sharif, F. Z., Satish, K. P., Hassen, L., &amp; Nair, S. C. (2019). Should I stay or </w:t>
      </w:r>
    </w:p>
    <w:p w14:paraId="0A517071" w14:textId="77777777" w:rsidR="002836A6" w:rsidRDefault="00000000" w:rsidP="006514F5">
      <w:pPr>
        <w:spacing w:after="0" w:line="240" w:lineRule="auto"/>
        <w:ind w:left="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should I go now? The impact of “pull” factors on physician decisions to remain in a destination country. </w:t>
      </w:r>
      <w:r>
        <w:rPr>
          <w:rFonts w:ascii="Times New Roman" w:eastAsia="Times New Roman" w:hAnsi="Times New Roman" w:cs="Times New Roman"/>
          <w:i/>
          <w:iCs/>
          <w:sz w:val="24"/>
          <w:szCs w:val="24"/>
        </w:rPr>
        <w:t>The International Journal of Health Planning and Management, 34</w:t>
      </w:r>
      <w:r>
        <w:rPr>
          <w:rFonts w:ascii="Times New Roman" w:eastAsia="Times New Roman" w:hAnsi="Times New Roman" w:cs="Times New Roman"/>
          <w:sz w:val="24"/>
          <w:szCs w:val="24"/>
        </w:rPr>
        <w:t>(4), e1909–e1920.</w:t>
      </w:r>
      <w:hyperlink r:id="rId43">
        <w:r>
          <w:rPr>
            <w:rFonts w:ascii="Times New Roman" w:eastAsia="Times New Roman" w:hAnsi="Times New Roman" w:cs="Times New Roman"/>
            <w:sz w:val="24"/>
            <w:szCs w:val="24"/>
          </w:rPr>
          <w:t xml:space="preserve"> </w:t>
        </w:r>
      </w:hyperlink>
      <w:hyperlink r:id="rId44">
        <w:r>
          <w:rPr>
            <w:rFonts w:ascii="Times New Roman" w:eastAsia="Times New Roman" w:hAnsi="Times New Roman" w:cs="Times New Roman"/>
            <w:color w:val="1155CC"/>
            <w:sz w:val="24"/>
            <w:szCs w:val="24"/>
            <w:u w:val="single"/>
          </w:rPr>
          <w:t>https://doi.org/10.1002/hpm.2819</w:t>
        </w:r>
      </w:hyperlink>
    </w:p>
    <w:p w14:paraId="71535778"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Kapyshev, A. (2021). </w:t>
      </w:r>
      <w:r>
        <w:rPr>
          <w:rFonts w:ascii="Times New Roman" w:eastAsia="Times New Roman" w:hAnsi="Times New Roman" w:cs="Times New Roman"/>
          <w:i/>
          <w:iCs/>
          <w:sz w:val="24"/>
          <w:szCs w:val="24"/>
        </w:rPr>
        <w:t xml:space="preserve">Brain drain in Kazakhstan: Reasons and consequences. Push factors </w:t>
      </w:r>
    </w:p>
    <w:p w14:paraId="254F8E2E"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affecting emigration from Kazakhstan</w:t>
      </w:r>
      <w:r>
        <w:rPr>
          <w:rFonts w:ascii="Times New Roman" w:eastAsia="Times New Roman" w:hAnsi="Times New Roman" w:cs="Times New Roman"/>
          <w:sz w:val="24"/>
          <w:szCs w:val="24"/>
        </w:rPr>
        <w:t xml:space="preserve"> (Master’s thesis, M. Narikbayev KAZGUU University, Nur-Sultan, Kazakhstan)</w:t>
      </w:r>
    </w:p>
    <w:p w14:paraId="780E50A7"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Kaimoldiyev, A. (2021). </w:t>
      </w:r>
      <w:r>
        <w:rPr>
          <w:rFonts w:ascii="Times New Roman" w:eastAsia="Times New Roman" w:hAnsi="Times New Roman" w:cs="Times New Roman"/>
          <w:i/>
          <w:iCs/>
          <w:sz w:val="24"/>
          <w:szCs w:val="24"/>
        </w:rPr>
        <w:t xml:space="preserve">Improvement of governmental policy in the field of educational </w:t>
      </w:r>
    </w:p>
    <w:p w14:paraId="5838FD9E"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migration: Strategies for applying intellectual potential in the Republic of Kazakhstan</w:t>
      </w:r>
      <w:r>
        <w:rPr>
          <w:rFonts w:ascii="Times New Roman" w:eastAsia="Times New Roman" w:hAnsi="Times New Roman" w:cs="Times New Roman"/>
          <w:sz w:val="24"/>
          <w:szCs w:val="24"/>
        </w:rPr>
        <w:t xml:space="preserve"> (Master’s project, Academy of Public Administration under the President of the Republic of Kazakhstan, National School of Public Policy)  </w:t>
      </w:r>
    </w:p>
    <w:p w14:paraId="1D66866B"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Kazlauskienė, A., &amp; Rinkevičius, L. (2006). Lithuanian “brain drain” causes: Push and pull </w:t>
      </w:r>
    </w:p>
    <w:p w14:paraId="013F7F8E"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w:t>
      </w:r>
      <w:r>
        <w:rPr>
          <w:rFonts w:ascii="Times New Roman" w:eastAsia="Times New Roman" w:hAnsi="Times New Roman" w:cs="Times New Roman"/>
          <w:i/>
          <w:iCs/>
          <w:sz w:val="24"/>
          <w:szCs w:val="24"/>
        </w:rPr>
        <w:t>Engineering Economics, 46</w:t>
      </w:r>
      <w:r>
        <w:rPr>
          <w:rFonts w:ascii="Times New Roman" w:eastAsia="Times New Roman" w:hAnsi="Times New Roman" w:cs="Times New Roman"/>
          <w:sz w:val="24"/>
          <w:szCs w:val="24"/>
        </w:rPr>
        <w:t xml:space="preserve">(1), 27–37 </w:t>
      </w:r>
    </w:p>
    <w:p w14:paraId="7C0D2567"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Korobkov, A. V., &amp; Zaionchkovskaia, Z. A. (2004). The changes in the migration patterns in </w:t>
      </w:r>
    </w:p>
    <w:p w14:paraId="1F60D0D0"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post-Soviet states: The first decade. </w:t>
      </w:r>
      <w:r>
        <w:rPr>
          <w:rFonts w:ascii="Times New Roman" w:eastAsia="Times New Roman" w:hAnsi="Times New Roman" w:cs="Times New Roman"/>
          <w:i/>
          <w:iCs/>
          <w:sz w:val="24"/>
          <w:szCs w:val="24"/>
        </w:rPr>
        <w:t>Communist and Post-Communist Studies, 37</w:t>
      </w:r>
      <w:r>
        <w:rPr>
          <w:rFonts w:ascii="Times New Roman" w:eastAsia="Times New Roman" w:hAnsi="Times New Roman" w:cs="Times New Roman"/>
          <w:sz w:val="24"/>
          <w:szCs w:val="24"/>
        </w:rPr>
        <w:t xml:space="preserve">(4), 481–508. </w:t>
      </w:r>
      <w:hyperlink r:id="rId45">
        <w:r>
          <w:rPr>
            <w:rFonts w:ascii="Times New Roman" w:eastAsia="Times New Roman" w:hAnsi="Times New Roman" w:cs="Times New Roman"/>
            <w:color w:val="1155CC"/>
            <w:sz w:val="24"/>
            <w:szCs w:val="24"/>
            <w:u w:val="single"/>
          </w:rPr>
          <w:t>https://doi.org/10.1016/j.postcomstud.2004.09.003</w:t>
        </w:r>
      </w:hyperlink>
      <w:r>
        <w:rPr>
          <w:rFonts w:ascii="Times New Roman" w:eastAsia="Times New Roman" w:hAnsi="Times New Roman" w:cs="Times New Roman"/>
          <w:sz w:val="24"/>
          <w:szCs w:val="24"/>
        </w:rPr>
        <w:t xml:space="preserve"> </w:t>
      </w:r>
    </w:p>
    <w:p w14:paraId="60378C42"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Kuzhabekova, A., &amp; Lee, J. T. (2018). Relocation decision of international faculty in </w:t>
      </w:r>
    </w:p>
    <w:p w14:paraId="4E0CB1DE"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Kazakhstan. </w:t>
      </w:r>
      <w:r>
        <w:rPr>
          <w:rFonts w:ascii="Times New Roman" w:eastAsia="Times New Roman" w:hAnsi="Times New Roman" w:cs="Times New Roman"/>
          <w:i/>
          <w:iCs/>
          <w:sz w:val="24"/>
          <w:szCs w:val="24"/>
        </w:rPr>
        <w:t>Journal of Studies in International Education, 22</w:t>
      </w:r>
      <w:r>
        <w:rPr>
          <w:rFonts w:ascii="Times New Roman" w:eastAsia="Times New Roman" w:hAnsi="Times New Roman" w:cs="Times New Roman"/>
          <w:sz w:val="24"/>
          <w:szCs w:val="24"/>
        </w:rPr>
        <w:t xml:space="preserve">(5), 414–433. </w:t>
      </w:r>
      <w:hyperlink r:id="rId46">
        <w:r>
          <w:rPr>
            <w:rFonts w:ascii="Times New Roman" w:eastAsia="Times New Roman" w:hAnsi="Times New Roman" w:cs="Times New Roman"/>
            <w:color w:val="1155CC"/>
            <w:sz w:val="24"/>
            <w:szCs w:val="24"/>
            <w:u w:val="single"/>
          </w:rPr>
          <w:t>https://doi.org/10.1177/1028315318773147</w:t>
        </w:r>
      </w:hyperlink>
      <w:r>
        <w:rPr>
          <w:rFonts w:ascii="Times New Roman" w:eastAsia="Times New Roman" w:hAnsi="Times New Roman" w:cs="Times New Roman"/>
          <w:sz w:val="24"/>
          <w:szCs w:val="24"/>
        </w:rPr>
        <w:t xml:space="preserve">  </w:t>
      </w:r>
    </w:p>
    <w:p w14:paraId="58106F15"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Kuzhabekova, A., Sparks, J., &amp; Temerbayeva, A. (2019). </w:t>
      </w:r>
      <w:r>
        <w:rPr>
          <w:rFonts w:ascii="Times New Roman" w:eastAsia="Times New Roman" w:hAnsi="Times New Roman" w:cs="Times New Roman"/>
          <w:i/>
          <w:iCs/>
          <w:sz w:val="24"/>
          <w:szCs w:val="24"/>
        </w:rPr>
        <w:t xml:space="preserve">Returning from study abroad and </w:t>
      </w:r>
    </w:p>
    <w:p w14:paraId="098265E1"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transitioning as a scholar: Stories of foreign PhD holders from Kazakhstan</w:t>
      </w:r>
      <w:r>
        <w:rPr>
          <w:rFonts w:ascii="Times New Roman" w:eastAsia="Times New Roman" w:hAnsi="Times New Roman" w:cs="Times New Roman"/>
          <w:sz w:val="24"/>
          <w:szCs w:val="24"/>
        </w:rPr>
        <w:t xml:space="preserve">. Research in Comparative &amp; International Education, 14(3), 412–430. </w:t>
      </w:r>
    </w:p>
    <w:p w14:paraId="6A8B15C5"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Khalid, B., &amp; Urbański, M. (2021). Approaches to understanding migration: A multi-country </w:t>
      </w:r>
    </w:p>
    <w:p w14:paraId="74CF06C5"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the push and pull migration trend. </w:t>
      </w:r>
      <w:r>
        <w:rPr>
          <w:rFonts w:ascii="Times New Roman" w:eastAsia="Times New Roman" w:hAnsi="Times New Roman" w:cs="Times New Roman"/>
          <w:i/>
          <w:iCs/>
          <w:sz w:val="24"/>
          <w:szCs w:val="24"/>
        </w:rPr>
        <w:t>Economics &amp; Sociology, 14</w:t>
      </w:r>
      <w:r>
        <w:rPr>
          <w:rFonts w:ascii="Times New Roman" w:eastAsia="Times New Roman" w:hAnsi="Times New Roman" w:cs="Times New Roman"/>
          <w:sz w:val="24"/>
          <w:szCs w:val="24"/>
        </w:rPr>
        <w:t xml:space="preserve">(4), </w:t>
      </w:r>
    </w:p>
    <w:p w14:paraId="4543BC76"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242–267. </w:t>
      </w:r>
      <w:hyperlink r:id="rId47">
        <w:r>
          <w:rPr>
            <w:rFonts w:ascii="Times New Roman" w:eastAsia="Times New Roman" w:hAnsi="Times New Roman" w:cs="Times New Roman"/>
            <w:color w:val="1155CC"/>
            <w:sz w:val="24"/>
            <w:szCs w:val="24"/>
            <w:u w:val="single"/>
          </w:rPr>
          <w:t>https://doi.org/10.14254/2071-789X.2021/14-4/14</w:t>
        </w:r>
      </w:hyperlink>
      <w:r>
        <w:rPr>
          <w:rFonts w:ascii="Times New Roman" w:eastAsia="Times New Roman" w:hAnsi="Times New Roman" w:cs="Times New Roman"/>
          <w:sz w:val="24"/>
          <w:szCs w:val="24"/>
        </w:rPr>
        <w:t xml:space="preserve"> </w:t>
      </w:r>
    </w:p>
    <w:p w14:paraId="52A1CF50"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Khabarov, M. (2024, April 12). </w:t>
      </w:r>
      <w:r>
        <w:rPr>
          <w:rFonts w:ascii="Times New Roman" w:eastAsia="Times New Roman" w:hAnsi="Times New Roman" w:cs="Times New Roman"/>
          <w:i/>
          <w:iCs/>
          <w:sz w:val="24"/>
          <w:szCs w:val="24"/>
        </w:rPr>
        <w:t xml:space="preserve">Tokaev prizval kazakhstanskikh uchenykh vernut'sia iz-za </w:t>
      </w:r>
    </w:p>
    <w:p w14:paraId="249AFEBD"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rubezha</w:t>
      </w:r>
      <w:r>
        <w:rPr>
          <w:rFonts w:ascii="Times New Roman" w:eastAsia="Times New Roman" w:hAnsi="Times New Roman" w:cs="Times New Roman"/>
          <w:sz w:val="24"/>
          <w:szCs w:val="24"/>
        </w:rPr>
        <w:t xml:space="preserve"> [Tokayev called on Kazakhstani scientists to return from abroad]. </w:t>
      </w:r>
      <w:r>
        <w:rPr>
          <w:rFonts w:ascii="Times New Roman" w:eastAsia="Times New Roman" w:hAnsi="Times New Roman" w:cs="Times New Roman"/>
          <w:i/>
          <w:iCs/>
          <w:sz w:val="24"/>
          <w:szCs w:val="24"/>
        </w:rPr>
        <w:t>Orda.kz</w:t>
      </w:r>
      <w:r>
        <w:rPr>
          <w:rFonts w:ascii="Times New Roman" w:eastAsia="Times New Roman" w:hAnsi="Times New Roman" w:cs="Times New Roman"/>
          <w:sz w:val="24"/>
          <w:szCs w:val="24"/>
        </w:rPr>
        <w:t>.</w:t>
      </w:r>
      <w:hyperlink r:id="rId48">
        <w:r>
          <w:rPr>
            <w:rFonts w:ascii="Times New Roman" w:eastAsia="Times New Roman" w:hAnsi="Times New Roman" w:cs="Times New Roman"/>
            <w:sz w:val="24"/>
            <w:szCs w:val="24"/>
          </w:rPr>
          <w:t xml:space="preserve"> </w:t>
        </w:r>
      </w:hyperlink>
      <w:hyperlink r:id="rId49">
        <w:r>
          <w:rPr>
            <w:rFonts w:ascii="Times New Roman" w:eastAsia="Times New Roman" w:hAnsi="Times New Roman" w:cs="Times New Roman"/>
            <w:color w:val="1155CC"/>
            <w:sz w:val="24"/>
            <w:szCs w:val="24"/>
            <w:u w:val="single"/>
          </w:rPr>
          <w:t>Orda.kz article</w:t>
        </w:r>
      </w:hyperlink>
      <w:r>
        <w:rPr>
          <w:rFonts w:ascii="Times New Roman" w:eastAsia="Times New Roman" w:hAnsi="Times New Roman" w:cs="Times New Roman"/>
          <w:sz w:val="24"/>
          <w:szCs w:val="24"/>
        </w:rPr>
        <w:t xml:space="preserve"> </w:t>
      </w:r>
    </w:p>
    <w:p w14:paraId="692B67DB"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Khan, J. (2021). European academic brain drain: A meta-synthesis. </w:t>
      </w:r>
      <w:r>
        <w:rPr>
          <w:rFonts w:ascii="Times New Roman" w:eastAsia="Times New Roman" w:hAnsi="Times New Roman" w:cs="Times New Roman"/>
          <w:i/>
          <w:iCs/>
          <w:sz w:val="24"/>
          <w:szCs w:val="24"/>
        </w:rPr>
        <w:t xml:space="preserve">European Journal of </w:t>
      </w:r>
    </w:p>
    <w:p w14:paraId="413C3C89"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Education, 56</w:t>
      </w:r>
      <w:r>
        <w:rPr>
          <w:rFonts w:ascii="Times New Roman" w:eastAsia="Times New Roman" w:hAnsi="Times New Roman" w:cs="Times New Roman"/>
          <w:sz w:val="24"/>
          <w:szCs w:val="24"/>
        </w:rPr>
        <w:t>(2), 265–278.</w:t>
      </w:r>
      <w:hyperlink r:id="rId50">
        <w:r>
          <w:rPr>
            <w:rFonts w:ascii="Times New Roman" w:eastAsia="Times New Roman" w:hAnsi="Times New Roman" w:cs="Times New Roman"/>
            <w:sz w:val="24"/>
            <w:szCs w:val="24"/>
          </w:rPr>
          <w:t xml:space="preserve"> </w:t>
        </w:r>
      </w:hyperlink>
      <w:hyperlink r:id="rId51">
        <w:r>
          <w:rPr>
            <w:rFonts w:ascii="Times New Roman" w:eastAsia="Times New Roman" w:hAnsi="Times New Roman" w:cs="Times New Roman"/>
            <w:color w:val="1155CC"/>
            <w:sz w:val="24"/>
            <w:szCs w:val="24"/>
            <w:u w:val="single"/>
          </w:rPr>
          <w:t>https://doi.org/10.1111/ejed.12449</w:t>
        </w:r>
      </w:hyperlink>
      <w:r>
        <w:rPr>
          <w:rFonts w:ascii="Times New Roman" w:eastAsia="Times New Roman" w:hAnsi="Times New Roman" w:cs="Times New Roman"/>
          <w:sz w:val="24"/>
          <w:szCs w:val="24"/>
        </w:rPr>
        <w:t xml:space="preserve"> </w:t>
      </w:r>
    </w:p>
    <w:p w14:paraId="3EEB36E6"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Kline, D. S. (2003). Push and pull factors in international nurse migration. </w:t>
      </w:r>
      <w:r>
        <w:rPr>
          <w:rFonts w:ascii="Times New Roman" w:eastAsia="Times New Roman" w:hAnsi="Times New Roman" w:cs="Times New Roman"/>
          <w:i/>
          <w:iCs/>
          <w:sz w:val="24"/>
          <w:szCs w:val="24"/>
        </w:rPr>
        <w:t xml:space="preserve">Journal of Nursing </w:t>
      </w:r>
    </w:p>
    <w:p w14:paraId="60A5FB4E"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Scholarship, 35</w:t>
      </w:r>
      <w:r>
        <w:rPr>
          <w:rFonts w:ascii="Times New Roman" w:eastAsia="Times New Roman" w:hAnsi="Times New Roman" w:cs="Times New Roman"/>
          <w:sz w:val="24"/>
          <w:szCs w:val="24"/>
        </w:rPr>
        <w:t xml:space="preserve">(2), 107–111. </w:t>
      </w:r>
      <w:hyperlink r:id="rId52">
        <w:r>
          <w:rPr>
            <w:rFonts w:ascii="Times New Roman" w:eastAsia="Times New Roman" w:hAnsi="Times New Roman" w:cs="Times New Roman"/>
            <w:color w:val="1155CC"/>
            <w:sz w:val="24"/>
            <w:szCs w:val="24"/>
            <w:u w:val="single"/>
          </w:rPr>
          <w:t>https://doi.org/10.1111/j.1547-5069.2003.00107.x</w:t>
        </w:r>
      </w:hyperlink>
      <w:r>
        <w:rPr>
          <w:rFonts w:ascii="Times New Roman" w:eastAsia="Times New Roman" w:hAnsi="Times New Roman" w:cs="Times New Roman"/>
          <w:sz w:val="24"/>
          <w:szCs w:val="24"/>
        </w:rPr>
        <w:t xml:space="preserve">  </w:t>
      </w:r>
    </w:p>
    <w:p w14:paraId="5AA6D2CD"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Latova, N. V., &amp; Savinkov, V. I. (2012). The influence of academic migration on the </w:t>
      </w:r>
    </w:p>
    <w:p w14:paraId="4CF1D8CA"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intellectual potential of Russia. </w:t>
      </w:r>
      <w:r>
        <w:rPr>
          <w:rFonts w:ascii="Times New Roman" w:eastAsia="Times New Roman" w:hAnsi="Times New Roman" w:cs="Times New Roman"/>
          <w:i/>
          <w:iCs/>
          <w:sz w:val="24"/>
          <w:szCs w:val="24"/>
        </w:rPr>
        <w:t>European Journal of Education, 47</w:t>
      </w:r>
      <w:r>
        <w:rPr>
          <w:rFonts w:ascii="Times New Roman" w:eastAsia="Times New Roman" w:hAnsi="Times New Roman" w:cs="Times New Roman"/>
          <w:sz w:val="24"/>
          <w:szCs w:val="24"/>
        </w:rPr>
        <w:t xml:space="preserve">(1), 64–76. </w:t>
      </w:r>
      <w:hyperlink r:id="rId53">
        <w:r>
          <w:rPr>
            <w:rFonts w:ascii="Times New Roman" w:eastAsia="Times New Roman" w:hAnsi="Times New Roman" w:cs="Times New Roman"/>
            <w:color w:val="1155CC"/>
            <w:sz w:val="24"/>
            <w:szCs w:val="24"/>
            <w:u w:val="single"/>
          </w:rPr>
          <w:t>https://doi.org/10.1111/j.1465-3435.2011.01508.x</w:t>
        </w:r>
      </w:hyperlink>
      <w:r>
        <w:rPr>
          <w:rFonts w:ascii="Times New Roman" w:eastAsia="Times New Roman" w:hAnsi="Times New Roman" w:cs="Times New Roman"/>
          <w:sz w:val="24"/>
          <w:szCs w:val="24"/>
        </w:rPr>
        <w:t xml:space="preserve"> </w:t>
      </w:r>
    </w:p>
    <w:p w14:paraId="7516A0CF"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E. S. (1966). A theory of migration. </w:t>
      </w:r>
      <w:r>
        <w:rPr>
          <w:rFonts w:ascii="Times New Roman" w:eastAsia="Times New Roman" w:hAnsi="Times New Roman" w:cs="Times New Roman"/>
          <w:i/>
          <w:iCs/>
          <w:sz w:val="24"/>
          <w:szCs w:val="24"/>
        </w:rPr>
        <w:t>Demography, 3</w:t>
      </w:r>
      <w:r>
        <w:rPr>
          <w:rFonts w:ascii="Times New Roman" w:eastAsia="Times New Roman" w:hAnsi="Times New Roman" w:cs="Times New Roman"/>
          <w:sz w:val="24"/>
          <w:szCs w:val="24"/>
        </w:rPr>
        <w:t>(1), 47–57.</w:t>
      </w:r>
      <w:hyperlink r:id="rId54">
        <w:r>
          <w:rPr>
            <w:rFonts w:ascii="Times New Roman" w:eastAsia="Times New Roman" w:hAnsi="Times New Roman" w:cs="Times New Roman"/>
            <w:sz w:val="24"/>
            <w:szCs w:val="24"/>
          </w:rPr>
          <w:t xml:space="preserve"> </w:t>
        </w:r>
      </w:hyperlink>
    </w:p>
    <w:p w14:paraId="002426D4" w14:textId="77777777" w:rsidR="002836A6" w:rsidRDefault="00000000" w:rsidP="006514F5">
      <w:pPr>
        <w:spacing w:after="0" w:line="240" w:lineRule="auto"/>
        <w:ind w:firstLine="720"/>
        <w:jc w:val="both"/>
        <w:rPr>
          <w:rFonts w:ascii="Times New Roman" w:eastAsia="Times New Roman" w:hAnsi="Times New Roman" w:cs="Times New Roman"/>
          <w:color w:val="1155CC"/>
          <w:sz w:val="24"/>
          <w:szCs w:val="24"/>
          <w:u w:val="single"/>
        </w:rPr>
      </w:pPr>
      <w:hyperlink r:id="rId55">
        <w:r>
          <w:rPr>
            <w:rFonts w:ascii="Times New Roman" w:eastAsia="Times New Roman" w:hAnsi="Times New Roman" w:cs="Times New Roman"/>
            <w:color w:val="1155CC"/>
            <w:sz w:val="24"/>
            <w:szCs w:val="24"/>
            <w:u w:val="single"/>
          </w:rPr>
          <w:t>https://doi.org/10.2307/2060063</w:t>
        </w:r>
      </w:hyperlink>
    </w:p>
    <w:p w14:paraId="05F24FC9"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Levitin, C. (1997). Yeltsin voices concern over “brain-drain.” </w:t>
      </w:r>
      <w:r>
        <w:rPr>
          <w:rFonts w:ascii="Times New Roman" w:eastAsia="Times New Roman" w:hAnsi="Times New Roman" w:cs="Times New Roman"/>
          <w:i/>
          <w:iCs/>
          <w:sz w:val="24"/>
          <w:szCs w:val="24"/>
        </w:rPr>
        <w:t>Nature, 390</w:t>
      </w:r>
      <w:r>
        <w:rPr>
          <w:rFonts w:ascii="Times New Roman" w:eastAsia="Times New Roman" w:hAnsi="Times New Roman" w:cs="Times New Roman"/>
          <w:sz w:val="24"/>
          <w:szCs w:val="24"/>
        </w:rPr>
        <w:t xml:space="preserve">(6662), 711. </w:t>
      </w:r>
    </w:p>
    <w:p w14:paraId="3BEB9169"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hyperlink r:id="rId56">
        <w:r>
          <w:rPr>
            <w:rFonts w:ascii="Times New Roman" w:eastAsia="Times New Roman" w:hAnsi="Times New Roman" w:cs="Times New Roman"/>
            <w:color w:val="1155CC"/>
            <w:sz w:val="24"/>
            <w:szCs w:val="24"/>
            <w:u w:val="single"/>
          </w:rPr>
          <w:t>https://doi.org/10.1038/37200</w:t>
        </w:r>
      </w:hyperlink>
      <w:r>
        <w:rPr>
          <w:rFonts w:ascii="Times New Roman" w:eastAsia="Times New Roman" w:hAnsi="Times New Roman" w:cs="Times New Roman"/>
          <w:sz w:val="24"/>
          <w:szCs w:val="24"/>
        </w:rPr>
        <w:t xml:space="preserve"> </w:t>
      </w:r>
    </w:p>
    <w:p w14:paraId="5736449E"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Leitão, C. A., Salvador, G. L. O., Idowu, B. M., &amp; Dako, F. (2024). Drivers of global health </w:t>
      </w:r>
    </w:p>
    <w:p w14:paraId="57F3426E"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care worker migration. </w:t>
      </w:r>
      <w:r>
        <w:rPr>
          <w:rFonts w:ascii="Times New Roman" w:eastAsia="Times New Roman" w:hAnsi="Times New Roman" w:cs="Times New Roman"/>
          <w:i/>
          <w:iCs/>
          <w:sz w:val="24"/>
          <w:szCs w:val="24"/>
        </w:rPr>
        <w:t>Journal of the American College of Radiology, 21</w:t>
      </w:r>
      <w:r>
        <w:rPr>
          <w:rFonts w:ascii="Times New Roman" w:eastAsia="Times New Roman" w:hAnsi="Times New Roman" w:cs="Times New Roman"/>
          <w:sz w:val="24"/>
          <w:szCs w:val="24"/>
        </w:rPr>
        <w:t>(8), 1188–1193.</w:t>
      </w:r>
      <w:hyperlink r:id="rId57">
        <w:r>
          <w:rPr>
            <w:rFonts w:ascii="Times New Roman" w:eastAsia="Times New Roman" w:hAnsi="Times New Roman" w:cs="Times New Roman"/>
            <w:sz w:val="24"/>
            <w:szCs w:val="24"/>
          </w:rPr>
          <w:t xml:space="preserve"> </w:t>
        </w:r>
      </w:hyperlink>
      <w:hyperlink r:id="rId58">
        <w:r>
          <w:rPr>
            <w:rFonts w:ascii="Times New Roman" w:eastAsia="Times New Roman" w:hAnsi="Times New Roman" w:cs="Times New Roman"/>
            <w:color w:val="1155CC"/>
            <w:sz w:val="24"/>
            <w:szCs w:val="24"/>
            <w:u w:val="single"/>
          </w:rPr>
          <w:t>https://doi.org/10.1016/j.jacr.2024.03.005</w:t>
        </w:r>
      </w:hyperlink>
      <w:r>
        <w:rPr>
          <w:rFonts w:ascii="Times New Roman" w:eastAsia="Times New Roman" w:hAnsi="Times New Roman" w:cs="Times New Roman"/>
          <w:sz w:val="24"/>
          <w:szCs w:val="24"/>
        </w:rPr>
        <w:t xml:space="preserve"> </w:t>
      </w:r>
    </w:p>
    <w:p w14:paraId="2A48586B"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 W., Yu, W., Sadowski-Smith, C., &amp; Wang, H. (2015). Intellectual migration and brain </w:t>
      </w:r>
    </w:p>
    <w:p w14:paraId="3474CE46"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circulation: Conceptual framework and empirical evidence. </w:t>
      </w:r>
      <w:r>
        <w:rPr>
          <w:rFonts w:ascii="Times New Roman" w:eastAsia="Times New Roman" w:hAnsi="Times New Roman" w:cs="Times New Roman"/>
          <w:i/>
          <w:iCs/>
          <w:sz w:val="24"/>
          <w:szCs w:val="24"/>
        </w:rPr>
        <w:t>Journal of Chinese Overseas, 11</w:t>
      </w:r>
      <w:r>
        <w:rPr>
          <w:rFonts w:ascii="Times New Roman" w:eastAsia="Times New Roman" w:hAnsi="Times New Roman" w:cs="Times New Roman"/>
          <w:sz w:val="24"/>
          <w:szCs w:val="24"/>
        </w:rPr>
        <w:t xml:space="preserve">(1), 43–58. </w:t>
      </w:r>
      <w:hyperlink r:id="rId59">
        <w:r>
          <w:rPr>
            <w:rFonts w:ascii="Times New Roman" w:eastAsia="Times New Roman" w:hAnsi="Times New Roman" w:cs="Times New Roman"/>
            <w:color w:val="1155CC"/>
            <w:sz w:val="24"/>
            <w:szCs w:val="24"/>
            <w:u w:val="single"/>
          </w:rPr>
          <w:t>https://doi.org/10.1163/17932548-12341300</w:t>
        </w:r>
      </w:hyperlink>
      <w:r>
        <w:rPr>
          <w:rFonts w:ascii="Times New Roman" w:eastAsia="Times New Roman" w:hAnsi="Times New Roman" w:cs="Times New Roman"/>
          <w:sz w:val="24"/>
          <w:szCs w:val="24"/>
        </w:rPr>
        <w:t xml:space="preserve">   </w:t>
      </w:r>
    </w:p>
    <w:p w14:paraId="001A1F43"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Li, W., Lo, L., &amp; Lu, Y. (2023). Introduction: The intellectual migration analytics. </w:t>
      </w:r>
      <w:r>
        <w:rPr>
          <w:rFonts w:ascii="Times New Roman" w:eastAsia="Times New Roman" w:hAnsi="Times New Roman" w:cs="Times New Roman"/>
          <w:i/>
          <w:iCs/>
          <w:sz w:val="24"/>
          <w:szCs w:val="24"/>
        </w:rPr>
        <w:t xml:space="preserve">Journal of </w:t>
      </w:r>
    </w:p>
    <w:p w14:paraId="052DF9ED"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Ethnic and Migration Studies, 49</w:t>
      </w:r>
      <w:r>
        <w:rPr>
          <w:rFonts w:ascii="Times New Roman" w:eastAsia="Times New Roman" w:hAnsi="Times New Roman" w:cs="Times New Roman"/>
          <w:sz w:val="24"/>
          <w:szCs w:val="24"/>
        </w:rPr>
        <w:t>(18), 4577–4597.</w:t>
      </w:r>
      <w:hyperlink r:id="rId60">
        <w:r>
          <w:rPr>
            <w:rFonts w:ascii="Times New Roman" w:eastAsia="Times New Roman" w:hAnsi="Times New Roman" w:cs="Times New Roman"/>
            <w:sz w:val="24"/>
            <w:szCs w:val="24"/>
          </w:rPr>
          <w:t xml:space="preserve"> </w:t>
        </w:r>
      </w:hyperlink>
      <w:hyperlink r:id="rId61">
        <w:r>
          <w:rPr>
            <w:rFonts w:ascii="Times New Roman" w:eastAsia="Times New Roman" w:hAnsi="Times New Roman" w:cs="Times New Roman"/>
            <w:color w:val="1155CC"/>
            <w:sz w:val="24"/>
            <w:szCs w:val="24"/>
            <w:u w:val="single"/>
          </w:rPr>
          <w:t>https://doi.org/10.1080/1369183X.2023.2270314</w:t>
        </w:r>
      </w:hyperlink>
      <w:r>
        <w:rPr>
          <w:rFonts w:ascii="Times New Roman" w:eastAsia="Times New Roman" w:hAnsi="Times New Roman" w:cs="Times New Roman"/>
          <w:sz w:val="24"/>
          <w:szCs w:val="24"/>
        </w:rPr>
        <w:t xml:space="preserve"> </w:t>
      </w:r>
    </w:p>
    <w:p w14:paraId="4FD9AF7F"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Lee, J. T., &amp; Kuzhabekova, A. (2018). </w:t>
      </w:r>
      <w:r>
        <w:rPr>
          <w:rFonts w:ascii="Times New Roman" w:eastAsia="Times New Roman" w:hAnsi="Times New Roman" w:cs="Times New Roman"/>
          <w:i/>
          <w:iCs/>
          <w:sz w:val="24"/>
          <w:szCs w:val="24"/>
        </w:rPr>
        <w:t xml:space="preserve">Reverse flow in academic mobility from core to </w:t>
      </w:r>
    </w:p>
    <w:p w14:paraId="6D2E7E66"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periphery: Motivations of international faculty working in Kazakhstan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Higher Education, 76</w:t>
      </w:r>
      <w:r>
        <w:rPr>
          <w:rFonts w:ascii="Times New Roman" w:eastAsia="Times New Roman" w:hAnsi="Times New Roman" w:cs="Times New Roman"/>
          <w:sz w:val="24"/>
          <w:szCs w:val="24"/>
        </w:rPr>
        <w:t xml:space="preserve">, 369–386 </w:t>
      </w:r>
    </w:p>
    <w:p w14:paraId="2BB41241"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Malokani, D. K. A. K., Mehmood, K. A., &amp; Munir, F. (2022). Role of Economic Instability, </w:t>
      </w:r>
    </w:p>
    <w:p w14:paraId="362D238D"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Political Instability, and Foreign Job Opportunities on Brain Drain: Perception of Business Students. Journal of Social Sciences Review, 2(4), 227-236 </w:t>
      </w:r>
    </w:p>
    <w:p w14:paraId="7CB9AD30"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Mahroum, S. (2000). Highly skilled globetrotters. </w:t>
      </w:r>
      <w:r>
        <w:rPr>
          <w:rFonts w:ascii="Times New Roman" w:eastAsia="Times New Roman" w:hAnsi="Times New Roman" w:cs="Times New Roman"/>
          <w:i/>
          <w:iCs/>
          <w:sz w:val="24"/>
          <w:szCs w:val="24"/>
        </w:rPr>
        <w:t>R&amp;D Management, 30</w:t>
      </w:r>
      <w:r>
        <w:rPr>
          <w:rFonts w:ascii="Times New Roman" w:eastAsia="Times New Roman" w:hAnsi="Times New Roman" w:cs="Times New Roman"/>
          <w:sz w:val="24"/>
          <w:szCs w:val="24"/>
        </w:rPr>
        <w:t xml:space="preserve">(1), 23–31. </w:t>
      </w:r>
    </w:p>
    <w:p w14:paraId="7A3609E3"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https://doi.org/10.1111/1467-9310.00154</w:t>
      </w:r>
    </w:p>
    <w:p w14:paraId="0626489F"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Merriam, S. B., &amp; Tisdell, E. J. (2016). </w:t>
      </w:r>
      <w:r>
        <w:rPr>
          <w:rFonts w:ascii="Times New Roman" w:eastAsia="Times New Roman" w:hAnsi="Times New Roman" w:cs="Times New Roman"/>
          <w:i/>
          <w:iCs/>
          <w:sz w:val="24"/>
          <w:szCs w:val="24"/>
        </w:rPr>
        <w:t xml:space="preserve">Qualitative research: A guide to design and </w:t>
      </w:r>
    </w:p>
    <w:p w14:paraId="05BCB8AF"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implementation</w:t>
      </w:r>
      <w:r>
        <w:rPr>
          <w:rFonts w:ascii="Times New Roman" w:eastAsia="Times New Roman" w:hAnsi="Times New Roman" w:cs="Times New Roman"/>
          <w:sz w:val="24"/>
          <w:szCs w:val="24"/>
        </w:rPr>
        <w:t xml:space="preserve"> (4th ed.). Jossey-Bass.</w:t>
      </w:r>
    </w:p>
    <w:p w14:paraId="3405B88A"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Meo, S. A., Eldawlatly, A. A., &amp; Sultan, T. (2024). Impact of unstable environment on the </w:t>
      </w:r>
    </w:p>
    <w:p w14:paraId="5A854AFE"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brain drain of highly skilled professionals, healthcare workers, researchers, and research productivity in Pakistan. </w:t>
      </w:r>
      <w:r>
        <w:rPr>
          <w:rFonts w:ascii="Times New Roman" w:eastAsia="Times New Roman" w:hAnsi="Times New Roman" w:cs="Times New Roman"/>
          <w:i/>
          <w:iCs/>
          <w:sz w:val="24"/>
          <w:szCs w:val="24"/>
        </w:rPr>
        <w:t>Saudi Journal of Anaesthesia, 18</w:t>
      </w:r>
      <w:r>
        <w:rPr>
          <w:rFonts w:ascii="Times New Roman" w:eastAsia="Times New Roman" w:hAnsi="Times New Roman" w:cs="Times New Roman"/>
          <w:sz w:val="24"/>
          <w:szCs w:val="24"/>
        </w:rPr>
        <w:t xml:space="preserve">(1), 48–54. </w:t>
      </w:r>
      <w:hyperlink r:id="rId62">
        <w:r>
          <w:rPr>
            <w:rFonts w:ascii="Times New Roman" w:eastAsia="Times New Roman" w:hAnsi="Times New Roman" w:cs="Times New Roman"/>
            <w:color w:val="1155CC"/>
            <w:sz w:val="24"/>
            <w:szCs w:val="24"/>
            <w:u w:val="single"/>
          </w:rPr>
          <w:t>https://doi.org/10.4103/sja.sja_549_23</w:t>
        </w:r>
      </w:hyperlink>
      <w:r>
        <w:rPr>
          <w:rFonts w:ascii="Times New Roman" w:eastAsia="Times New Roman" w:hAnsi="Times New Roman" w:cs="Times New Roman"/>
          <w:sz w:val="24"/>
          <w:szCs w:val="24"/>
        </w:rPr>
        <w:t xml:space="preserve"> </w:t>
      </w:r>
    </w:p>
    <w:p w14:paraId="469AC957"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Michaelis, A. R. (1990). Brain drain and brain gain. </w:t>
      </w:r>
      <w:r>
        <w:rPr>
          <w:rFonts w:ascii="Times New Roman" w:eastAsia="Times New Roman" w:hAnsi="Times New Roman" w:cs="Times New Roman"/>
          <w:i/>
          <w:iCs/>
          <w:sz w:val="24"/>
          <w:szCs w:val="24"/>
        </w:rPr>
        <w:t>Interdisciplinary Science Reviews, 15</w:t>
      </w:r>
      <w:r>
        <w:rPr>
          <w:rFonts w:ascii="Times New Roman" w:eastAsia="Times New Roman" w:hAnsi="Times New Roman" w:cs="Times New Roman"/>
          <w:sz w:val="24"/>
          <w:szCs w:val="24"/>
        </w:rPr>
        <w:t xml:space="preserve">(3), </w:t>
      </w:r>
    </w:p>
    <w:p w14:paraId="3B2AEAFE"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193–195.</w:t>
      </w:r>
      <w:hyperlink r:id="rId63">
        <w:r>
          <w:rPr>
            <w:rFonts w:ascii="Times New Roman" w:eastAsia="Times New Roman" w:hAnsi="Times New Roman" w:cs="Times New Roman"/>
            <w:sz w:val="24"/>
            <w:szCs w:val="24"/>
          </w:rPr>
          <w:t xml:space="preserve"> </w:t>
        </w:r>
      </w:hyperlink>
      <w:hyperlink r:id="rId64">
        <w:r>
          <w:rPr>
            <w:rFonts w:ascii="Times New Roman" w:eastAsia="Times New Roman" w:hAnsi="Times New Roman" w:cs="Times New Roman"/>
            <w:color w:val="1155CC"/>
            <w:sz w:val="24"/>
            <w:szCs w:val="24"/>
            <w:u w:val="single"/>
          </w:rPr>
          <w:t>https://doi.org/10.1179/isr.1990.15.3.193</w:t>
        </w:r>
      </w:hyperlink>
      <w:r>
        <w:rPr>
          <w:rFonts w:ascii="Times New Roman" w:eastAsia="Times New Roman" w:hAnsi="Times New Roman" w:cs="Times New Roman"/>
          <w:sz w:val="24"/>
          <w:szCs w:val="24"/>
        </w:rPr>
        <w:t xml:space="preserve"> </w:t>
      </w:r>
    </w:p>
    <w:p w14:paraId="7885EAB0"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Ministry of Science and Higher Education of the Republic of Kazakhstan. (2023). </w:t>
      </w:r>
      <w:r>
        <w:rPr>
          <w:rFonts w:ascii="Times New Roman" w:eastAsia="Times New Roman" w:hAnsi="Times New Roman" w:cs="Times New Roman"/>
          <w:i/>
          <w:iCs/>
          <w:sz w:val="24"/>
          <w:szCs w:val="24"/>
        </w:rPr>
        <w:t xml:space="preserve">Concept </w:t>
      </w:r>
    </w:p>
    <w:p w14:paraId="448948AA" w14:textId="77777777" w:rsidR="002836A6" w:rsidRDefault="00000000" w:rsidP="006514F5">
      <w:pPr>
        <w:spacing w:after="0" w:line="240" w:lineRule="auto"/>
        <w:ind w:left="720"/>
        <w:rPr>
          <w:rFonts w:ascii="Times New Roman" w:eastAsia="Times New Roman" w:hAnsi="Times New Roman" w:cs="Times New Roman"/>
          <w:sz w:val="24"/>
          <w:szCs w:val="24"/>
          <w:u w:val="single"/>
        </w:rPr>
      </w:pPr>
      <w:r>
        <w:rPr>
          <w:rFonts w:ascii="Times New Roman" w:eastAsia="Times New Roman" w:hAnsi="Times New Roman" w:cs="Times New Roman"/>
          <w:i/>
          <w:iCs/>
          <w:sz w:val="24"/>
          <w:szCs w:val="24"/>
        </w:rPr>
        <w:t>for the development of science and higher education for 2023–2029</w:t>
      </w:r>
      <w:r>
        <w:rPr>
          <w:rFonts w:ascii="Times New Roman" w:eastAsia="Times New Roman" w:hAnsi="Times New Roman" w:cs="Times New Roman"/>
          <w:sz w:val="24"/>
          <w:szCs w:val="24"/>
        </w:rPr>
        <w:t xml:space="preserve"> [Policy concept paper].</w:t>
      </w:r>
      <w:hyperlink r:id="rId65">
        <w:r>
          <w:rPr>
            <w:rFonts w:ascii="Times New Roman" w:eastAsia="Times New Roman" w:hAnsi="Times New Roman" w:cs="Times New Roman"/>
            <w:sz w:val="24"/>
            <w:szCs w:val="24"/>
          </w:rPr>
          <w:t xml:space="preserve"> </w:t>
        </w:r>
      </w:hyperlink>
      <w:hyperlink r:id="rId66">
        <w:r>
          <w:rPr>
            <w:rFonts w:ascii="Times New Roman" w:eastAsia="Times New Roman" w:hAnsi="Times New Roman" w:cs="Times New Roman"/>
            <w:sz w:val="24"/>
            <w:szCs w:val="24"/>
            <w:u w:val="single"/>
          </w:rPr>
          <w:t>https://enic-kazakhstan.edu.kz/files/1679046163/1-sayasat-nurbek---koncepciya-mnvo.pdf</w:t>
        </w:r>
      </w:hyperlink>
      <w:r>
        <w:rPr>
          <w:rFonts w:ascii="Times New Roman" w:eastAsia="Times New Roman" w:hAnsi="Times New Roman" w:cs="Times New Roman"/>
          <w:sz w:val="24"/>
          <w:szCs w:val="24"/>
          <w:u w:val="single"/>
        </w:rPr>
        <w:t xml:space="preserve"> </w:t>
      </w:r>
    </w:p>
    <w:p w14:paraId="61B57CCB"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Mironova, L. (2024, March 6). </w:t>
      </w:r>
      <w:r>
        <w:rPr>
          <w:rFonts w:ascii="Times New Roman" w:eastAsia="Times New Roman" w:hAnsi="Times New Roman" w:cs="Times New Roman"/>
          <w:i/>
          <w:iCs/>
          <w:sz w:val="24"/>
          <w:szCs w:val="24"/>
        </w:rPr>
        <w:t xml:space="preserve">V Minnauki pridumali, kak vernut' uekhavshikh iz </w:t>
      </w:r>
    </w:p>
    <w:p w14:paraId="0A816C30" w14:textId="77777777" w:rsidR="002836A6" w:rsidRDefault="00000000" w:rsidP="006514F5">
      <w:pPr>
        <w:spacing w:after="0" w:line="240" w:lineRule="auto"/>
        <w:ind w:left="720"/>
        <w:jc w:val="both"/>
        <w:rPr>
          <w:rFonts w:ascii="Times New Roman" w:eastAsia="Times New Roman" w:hAnsi="Times New Roman" w:cs="Times New Roman"/>
          <w:sz w:val="24"/>
          <w:szCs w:val="24"/>
          <w:u w:val="single"/>
        </w:rPr>
      </w:pPr>
      <w:r>
        <w:rPr>
          <w:rFonts w:ascii="Times New Roman" w:eastAsia="Times New Roman" w:hAnsi="Times New Roman" w:cs="Times New Roman"/>
          <w:i/>
          <w:iCs/>
          <w:sz w:val="24"/>
          <w:szCs w:val="24"/>
        </w:rPr>
        <w:t>Kazakhstana uchenykh</w:t>
      </w:r>
      <w:r>
        <w:rPr>
          <w:rFonts w:ascii="Times New Roman" w:eastAsia="Times New Roman" w:hAnsi="Times New Roman" w:cs="Times New Roman"/>
          <w:sz w:val="24"/>
          <w:szCs w:val="24"/>
        </w:rPr>
        <w:t xml:space="preserve"> [The Ministry of Science developed measures to bring back scientists who left Kazakhstan]. </w:t>
      </w:r>
      <w:r>
        <w:rPr>
          <w:rFonts w:ascii="Times New Roman" w:eastAsia="Times New Roman" w:hAnsi="Times New Roman" w:cs="Times New Roman"/>
          <w:i/>
          <w:iCs/>
          <w:sz w:val="24"/>
          <w:szCs w:val="24"/>
        </w:rPr>
        <w:t>Bizmedia.kz</w:t>
      </w:r>
      <w:r>
        <w:rPr>
          <w:rFonts w:ascii="Times New Roman" w:eastAsia="Times New Roman" w:hAnsi="Times New Roman" w:cs="Times New Roman"/>
          <w:sz w:val="24"/>
          <w:szCs w:val="24"/>
        </w:rPr>
        <w:t>.</w:t>
      </w:r>
      <w:hyperlink r:id="rId67">
        <w:r>
          <w:rPr>
            <w:rFonts w:ascii="Times New Roman" w:eastAsia="Times New Roman" w:hAnsi="Times New Roman" w:cs="Times New Roman"/>
            <w:sz w:val="24"/>
            <w:szCs w:val="24"/>
          </w:rPr>
          <w:t xml:space="preserve"> </w:t>
        </w:r>
      </w:hyperlink>
      <w:hyperlink r:id="rId68">
        <w:r>
          <w:rPr>
            <w:rFonts w:ascii="Times New Roman" w:eastAsia="Times New Roman" w:hAnsi="Times New Roman" w:cs="Times New Roman"/>
            <w:color w:val="1155CC"/>
            <w:sz w:val="24"/>
            <w:szCs w:val="24"/>
            <w:u w:val="single"/>
          </w:rPr>
          <w:t>https://bizmedia.kz/2024-03-06-v-minnauki-pridumali-kak-vernut-uehavshih-iz-kazahstana-uchenyh/</w:t>
        </w:r>
      </w:hyperlink>
      <w:r>
        <w:rPr>
          <w:rFonts w:ascii="Times New Roman" w:eastAsia="Times New Roman" w:hAnsi="Times New Roman" w:cs="Times New Roman"/>
          <w:sz w:val="24"/>
          <w:szCs w:val="24"/>
          <w:u w:val="single"/>
        </w:rPr>
        <w:t xml:space="preserve"> </w:t>
      </w:r>
    </w:p>
    <w:p w14:paraId="22202B41"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Narymbaeva, A., Rakhymzhanov, Y., Abdukarimova, Z., Osmanova, G., Satbayeva, A., &amp; </w:t>
      </w:r>
    </w:p>
    <w:p w14:paraId="472830D5"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Alimbetova, A. (2024). Exploring intellectual and educational migration in Kazakhstan: Documentary analysis. </w:t>
      </w:r>
      <w:r>
        <w:rPr>
          <w:rFonts w:ascii="Times New Roman" w:eastAsia="Times New Roman" w:hAnsi="Times New Roman" w:cs="Times New Roman"/>
          <w:i/>
          <w:iCs/>
          <w:sz w:val="24"/>
          <w:szCs w:val="24"/>
        </w:rPr>
        <w:t>Access to Justice in Eastern Europe, 7</w:t>
      </w:r>
      <w:r>
        <w:rPr>
          <w:rFonts w:ascii="Times New Roman" w:eastAsia="Times New Roman" w:hAnsi="Times New Roman" w:cs="Times New Roman"/>
          <w:sz w:val="24"/>
          <w:szCs w:val="24"/>
        </w:rPr>
        <w:t>(4), 317–346.</w:t>
      </w:r>
      <w:hyperlink r:id="rId69">
        <w:r>
          <w:rPr>
            <w:rFonts w:ascii="Times New Roman" w:eastAsia="Times New Roman" w:hAnsi="Times New Roman" w:cs="Times New Roman"/>
            <w:sz w:val="24"/>
            <w:szCs w:val="24"/>
          </w:rPr>
          <w:t xml:space="preserve"> </w:t>
        </w:r>
      </w:hyperlink>
      <w:hyperlink r:id="rId70">
        <w:r>
          <w:rPr>
            <w:rFonts w:ascii="Times New Roman" w:eastAsia="Times New Roman" w:hAnsi="Times New Roman" w:cs="Times New Roman"/>
            <w:color w:val="1155CC"/>
            <w:sz w:val="24"/>
            <w:szCs w:val="24"/>
            <w:u w:val="single"/>
          </w:rPr>
          <w:t>https://doi.org/10.33327/AJEE-18-7.4-a000128</w:t>
        </w:r>
      </w:hyperlink>
      <w:r>
        <w:rPr>
          <w:rFonts w:ascii="Times New Roman" w:eastAsia="Times New Roman" w:hAnsi="Times New Roman" w:cs="Times New Roman"/>
          <w:sz w:val="24"/>
          <w:szCs w:val="24"/>
        </w:rPr>
        <w:t xml:space="preserve"> </w:t>
      </w:r>
    </w:p>
    <w:p w14:paraId="6BE63B82"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Naumova, T. (2014). Academic emigration from Russia. Russian Politics &amp; Law, 43(1), </w:t>
      </w:r>
    </w:p>
    <w:p w14:paraId="7A85EC26" w14:textId="77777777" w:rsidR="002836A6" w:rsidRDefault="00000000" w:rsidP="006514F5">
      <w:pPr>
        <w:spacing w:after="0" w:line="240" w:lineRule="auto"/>
        <w:ind w:firstLine="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77–91.</w:t>
      </w:r>
      <w:r>
        <w:rPr>
          <w:rFonts w:ascii="Times New Roman" w:eastAsia="Times New Roman" w:hAnsi="Times New Roman" w:cs="Times New Roman"/>
          <w:color w:val="1155CC"/>
          <w:sz w:val="24"/>
          <w:szCs w:val="24"/>
          <w:u w:val="single"/>
        </w:rPr>
        <w:t xml:space="preserve"> https://doi.org/10.1080/10611940.2005.11066941</w:t>
      </w:r>
    </w:p>
    <w:p w14:paraId="7EC16CCE"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Ndombi Avouba, F. G., Mboulou, R. S., &amp; Kouya, F. O. Y. (2025). Effects of political  </w:t>
      </w:r>
    </w:p>
    <w:p w14:paraId="5D78168B" w14:textId="77777777" w:rsidR="002836A6" w:rsidRDefault="00000000" w:rsidP="006514F5">
      <w:pPr>
        <w:spacing w:after="0" w:line="240" w:lineRule="auto"/>
        <w:ind w:left="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instability on brain drain in sub-Saharan Africa: What are the realities for countries with presidential regimes? </w:t>
      </w:r>
      <w:r>
        <w:rPr>
          <w:rFonts w:ascii="Times New Roman" w:eastAsia="Times New Roman" w:hAnsi="Times New Roman" w:cs="Times New Roman"/>
          <w:i/>
          <w:iCs/>
          <w:sz w:val="24"/>
          <w:szCs w:val="24"/>
        </w:rPr>
        <w:t>The Journal of Socio-Economics and Development</w:t>
      </w:r>
      <w:r>
        <w:rPr>
          <w:rFonts w:ascii="Times New Roman" w:eastAsia="Times New Roman" w:hAnsi="Times New Roman" w:cs="Times New Roman"/>
          <w:sz w:val="24"/>
          <w:szCs w:val="24"/>
        </w:rPr>
        <w:t>. Advance online publication.</w:t>
      </w:r>
      <w:hyperlink r:id="rId71">
        <w:r>
          <w:rPr>
            <w:rFonts w:ascii="Times New Roman" w:eastAsia="Times New Roman" w:hAnsi="Times New Roman" w:cs="Times New Roman"/>
            <w:sz w:val="24"/>
            <w:szCs w:val="24"/>
          </w:rPr>
          <w:t xml:space="preserve"> </w:t>
        </w:r>
      </w:hyperlink>
      <w:hyperlink r:id="rId72">
        <w:r>
          <w:rPr>
            <w:rFonts w:ascii="Times New Roman" w:eastAsia="Times New Roman" w:hAnsi="Times New Roman" w:cs="Times New Roman"/>
            <w:color w:val="1155CC"/>
            <w:sz w:val="24"/>
            <w:szCs w:val="24"/>
            <w:u w:val="single"/>
          </w:rPr>
          <w:t>https://doi.org/10.1007/s40847-024-00414-9</w:t>
        </w:r>
      </w:hyperlink>
    </w:p>
    <w:p w14:paraId="6305A823"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Ngoma, A. L., &amp; Ismail, N. W. (2013). The determinants of brain drain in developing </w:t>
      </w:r>
    </w:p>
    <w:p w14:paraId="6B103827" w14:textId="77777777" w:rsidR="002836A6" w:rsidRDefault="00000000" w:rsidP="006514F5">
      <w:pPr>
        <w:spacing w:after="0" w:line="240" w:lineRule="auto"/>
        <w:ind w:left="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countries. </w:t>
      </w:r>
      <w:r>
        <w:rPr>
          <w:rFonts w:ascii="Times New Roman" w:eastAsia="Times New Roman" w:hAnsi="Times New Roman" w:cs="Times New Roman"/>
          <w:i/>
          <w:iCs/>
          <w:sz w:val="24"/>
          <w:szCs w:val="24"/>
        </w:rPr>
        <w:t>International Journal of Social Economics, 40</w:t>
      </w:r>
      <w:r>
        <w:rPr>
          <w:rFonts w:ascii="Times New Roman" w:eastAsia="Times New Roman" w:hAnsi="Times New Roman" w:cs="Times New Roman"/>
          <w:sz w:val="24"/>
          <w:szCs w:val="24"/>
        </w:rPr>
        <w:t>(8), 744–754.</w:t>
      </w:r>
      <w:hyperlink r:id="rId73">
        <w:r>
          <w:rPr>
            <w:rFonts w:ascii="Times New Roman" w:eastAsia="Times New Roman" w:hAnsi="Times New Roman" w:cs="Times New Roman"/>
            <w:sz w:val="24"/>
            <w:szCs w:val="24"/>
          </w:rPr>
          <w:t xml:space="preserve"> </w:t>
        </w:r>
      </w:hyperlink>
      <w:hyperlink r:id="rId74">
        <w:r>
          <w:rPr>
            <w:rFonts w:ascii="Times New Roman" w:eastAsia="Times New Roman" w:hAnsi="Times New Roman" w:cs="Times New Roman"/>
            <w:color w:val="1155CC"/>
            <w:sz w:val="24"/>
            <w:szCs w:val="24"/>
            <w:u w:val="single"/>
          </w:rPr>
          <w:t>https://doi.org/10.1108/IJSE-05-2013-0109</w:t>
        </w:r>
      </w:hyperlink>
      <w:r>
        <w:rPr>
          <w:rFonts w:ascii="Times New Roman" w:eastAsia="Times New Roman" w:hAnsi="Times New Roman" w:cs="Times New Roman"/>
          <w:color w:val="1155CC"/>
          <w:sz w:val="24"/>
          <w:szCs w:val="24"/>
          <w:u w:val="single"/>
        </w:rPr>
        <w:t xml:space="preserve"> </w:t>
      </w:r>
    </w:p>
    <w:p w14:paraId="68473085"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OECD. (2019). </w:t>
      </w:r>
      <w:r>
        <w:rPr>
          <w:rFonts w:ascii="Times New Roman" w:eastAsia="Times New Roman" w:hAnsi="Times New Roman" w:cs="Times New Roman"/>
          <w:i/>
          <w:iCs/>
          <w:sz w:val="24"/>
          <w:szCs w:val="24"/>
        </w:rPr>
        <w:t xml:space="preserve">International Migration Outlook 2019, OECD Publishing, Paris, </w:t>
      </w:r>
    </w:p>
    <w:p w14:paraId="0E1D3E01"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hyperlink r:id="rId75">
        <w:r>
          <w:rPr>
            <w:rFonts w:ascii="Times New Roman" w:eastAsia="Times New Roman" w:hAnsi="Times New Roman" w:cs="Times New Roman"/>
            <w:i/>
            <w:iCs/>
            <w:color w:val="1155CC"/>
            <w:sz w:val="24"/>
            <w:szCs w:val="24"/>
            <w:u w:val="single"/>
          </w:rPr>
          <w:t>https://doi.org/10.1787/c3e35eec-en</w:t>
        </w:r>
      </w:hyperlink>
      <w:r>
        <w:rPr>
          <w:rFonts w:ascii="Times New Roman" w:eastAsia="Times New Roman" w:hAnsi="Times New Roman" w:cs="Times New Roman"/>
          <w:i/>
          <w:iCs/>
          <w:sz w:val="24"/>
          <w:szCs w:val="24"/>
        </w:rPr>
        <w:t xml:space="preserve"> </w:t>
      </w:r>
    </w:p>
    <w:p w14:paraId="12E05E1E"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Parkins, N. C. (2010). Push and pull factors of migration. </w:t>
      </w:r>
      <w:r>
        <w:rPr>
          <w:rFonts w:ascii="Times New Roman" w:eastAsia="Times New Roman" w:hAnsi="Times New Roman" w:cs="Times New Roman"/>
          <w:i/>
          <w:iCs/>
          <w:sz w:val="24"/>
          <w:szCs w:val="24"/>
        </w:rPr>
        <w:t xml:space="preserve">Journal of Comparative Social </w:t>
      </w:r>
    </w:p>
    <w:p w14:paraId="44876FC0"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Welfare, 26</w:t>
      </w:r>
      <w:r>
        <w:rPr>
          <w:rFonts w:ascii="Times New Roman" w:eastAsia="Times New Roman" w:hAnsi="Times New Roman" w:cs="Times New Roman"/>
          <w:sz w:val="24"/>
          <w:szCs w:val="24"/>
        </w:rPr>
        <w:t xml:space="preserve">(1), 35–46. </w:t>
      </w:r>
      <w:hyperlink r:id="rId76">
        <w:r>
          <w:rPr>
            <w:rFonts w:ascii="Times New Roman" w:eastAsia="Times New Roman" w:hAnsi="Times New Roman" w:cs="Times New Roman"/>
            <w:color w:val="1155CC"/>
            <w:sz w:val="24"/>
            <w:szCs w:val="24"/>
            <w:u w:val="single"/>
          </w:rPr>
          <w:t>https://doi.org/10.1080/17486830903561403</w:t>
        </w:r>
      </w:hyperlink>
    </w:p>
    <w:p w14:paraId="1AD70433"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Panagiotakopoulos, A. (2020). Investigating the factors affecting brain drain in Greece. </w:t>
      </w:r>
      <w:r>
        <w:rPr>
          <w:rFonts w:ascii="Times New Roman" w:eastAsia="Times New Roman" w:hAnsi="Times New Roman" w:cs="Times New Roman"/>
          <w:i/>
          <w:iCs/>
          <w:sz w:val="24"/>
          <w:szCs w:val="24"/>
        </w:rPr>
        <w:t xml:space="preserve">World </w:t>
      </w:r>
    </w:p>
    <w:p w14:paraId="45C8DE23"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Journal of Entrepreneurship, Management and Sustainable Development, 16</w:t>
      </w:r>
      <w:r>
        <w:rPr>
          <w:rFonts w:ascii="Times New Roman" w:eastAsia="Times New Roman" w:hAnsi="Times New Roman" w:cs="Times New Roman"/>
          <w:sz w:val="24"/>
          <w:szCs w:val="24"/>
        </w:rPr>
        <w:t xml:space="preserve">(3), 207–218. </w:t>
      </w:r>
      <w:hyperlink r:id="rId77">
        <w:r>
          <w:rPr>
            <w:rFonts w:ascii="Times New Roman" w:eastAsia="Times New Roman" w:hAnsi="Times New Roman" w:cs="Times New Roman"/>
            <w:color w:val="1155CC"/>
            <w:sz w:val="24"/>
            <w:szCs w:val="24"/>
            <w:u w:val="single"/>
          </w:rPr>
          <w:t>https://doi.org/10.1108/WJEMSD-10-2019-0086</w:t>
        </w:r>
      </w:hyperlink>
      <w:r>
        <w:rPr>
          <w:rFonts w:ascii="Times New Roman" w:eastAsia="Times New Roman" w:hAnsi="Times New Roman" w:cs="Times New Roman"/>
          <w:sz w:val="24"/>
          <w:szCs w:val="24"/>
        </w:rPr>
        <w:t xml:space="preserve"> </w:t>
      </w:r>
    </w:p>
    <w:p w14:paraId="45FEB4BD" w14:textId="77777777" w:rsidR="002836A6" w:rsidRDefault="00000000" w:rsidP="006514F5">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Pasban, M., &amp; Hosseinzadeh Nojedeh, S. (2016). A review of the role of human capital in the </w:t>
      </w:r>
    </w:p>
    <w:p w14:paraId="57689033"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 </w:t>
      </w:r>
      <w:r>
        <w:rPr>
          <w:rFonts w:ascii="Times New Roman" w:eastAsia="Times New Roman" w:hAnsi="Times New Roman" w:cs="Times New Roman"/>
          <w:i/>
          <w:iCs/>
          <w:sz w:val="24"/>
          <w:szCs w:val="24"/>
        </w:rPr>
        <w:t>Procedia – Social and Behavioral Sciences, 230</w:t>
      </w:r>
      <w:r>
        <w:rPr>
          <w:rFonts w:ascii="Times New Roman" w:eastAsia="Times New Roman" w:hAnsi="Times New Roman" w:cs="Times New Roman"/>
          <w:sz w:val="24"/>
          <w:szCs w:val="24"/>
        </w:rPr>
        <w:t>, 249–253.</w:t>
      </w:r>
      <w:hyperlink r:id="rId78">
        <w:r>
          <w:rPr>
            <w:rFonts w:ascii="Times New Roman" w:eastAsia="Times New Roman" w:hAnsi="Times New Roman" w:cs="Times New Roman"/>
            <w:sz w:val="24"/>
            <w:szCs w:val="24"/>
          </w:rPr>
          <w:t xml:space="preserve"> </w:t>
        </w:r>
      </w:hyperlink>
      <w:hyperlink r:id="rId79">
        <w:r>
          <w:rPr>
            <w:rFonts w:ascii="Times New Roman" w:eastAsia="Times New Roman" w:hAnsi="Times New Roman" w:cs="Times New Roman"/>
            <w:color w:val="1155CC"/>
            <w:sz w:val="24"/>
            <w:szCs w:val="24"/>
            <w:u w:val="single"/>
          </w:rPr>
          <w:t>https://doi.org/10.1016/j.sbspro.2016.09.032</w:t>
        </w:r>
      </w:hyperlink>
      <w:r>
        <w:rPr>
          <w:rFonts w:ascii="Times New Roman" w:eastAsia="Times New Roman" w:hAnsi="Times New Roman" w:cs="Times New Roman"/>
          <w:sz w:val="24"/>
          <w:szCs w:val="24"/>
        </w:rPr>
        <w:t xml:space="preserve"> </w:t>
      </w:r>
    </w:p>
    <w:p w14:paraId="6170D0B0" w14:textId="77777777" w:rsidR="002836A6" w:rsidRDefault="00000000" w:rsidP="006514F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Quinn, M. A., &amp; Rubb, S. (2005). </w:t>
      </w:r>
      <w:r>
        <w:rPr>
          <w:rFonts w:ascii="Times New Roman" w:eastAsia="Times New Roman" w:hAnsi="Times New Roman" w:cs="Times New Roman"/>
          <w:i/>
          <w:iCs/>
          <w:sz w:val="24"/>
          <w:szCs w:val="24"/>
        </w:rPr>
        <w:t xml:space="preserve">The importance of education–occupation matching in </w:t>
      </w:r>
    </w:p>
    <w:p w14:paraId="4002D9D0" w14:textId="77777777" w:rsidR="002836A6" w:rsidRDefault="00000000" w:rsidP="006514F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migration decisions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Demography, 42</w:t>
      </w:r>
      <w:r>
        <w:rPr>
          <w:rFonts w:ascii="Times New Roman" w:eastAsia="Times New Roman" w:hAnsi="Times New Roman" w:cs="Times New Roman"/>
          <w:sz w:val="24"/>
          <w:szCs w:val="24"/>
        </w:rPr>
        <w:t>(1), 153–167.</w:t>
      </w:r>
      <w:hyperlink r:id="rId80">
        <w:r>
          <w:rPr>
            <w:rFonts w:ascii="Times New Roman" w:eastAsia="Times New Roman" w:hAnsi="Times New Roman" w:cs="Times New Roman"/>
            <w:sz w:val="24"/>
            <w:szCs w:val="24"/>
          </w:rPr>
          <w:t xml:space="preserve">  </w:t>
        </w:r>
      </w:hyperlink>
      <w:hyperlink r:id="rId81">
        <w:r>
          <w:rPr>
            <w:rFonts w:ascii="Times New Roman" w:eastAsia="Times New Roman" w:hAnsi="Times New Roman" w:cs="Times New Roman"/>
            <w:color w:val="1155CC"/>
            <w:sz w:val="24"/>
            <w:szCs w:val="24"/>
            <w:u w:val="single"/>
          </w:rPr>
          <w:t>https://doi.org/10.1353/dem.2005.0008</w:t>
        </w:r>
      </w:hyperlink>
      <w:r>
        <w:rPr>
          <w:rFonts w:ascii="Times New Roman" w:eastAsia="Times New Roman" w:hAnsi="Times New Roman" w:cs="Times New Roman"/>
          <w:sz w:val="24"/>
          <w:szCs w:val="24"/>
        </w:rPr>
        <w:t xml:space="preserve"> </w:t>
      </w:r>
    </w:p>
    <w:p w14:paraId="486ACD4A"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Sen, A. (1973). Brain drain: Causes and effects. In B. R. Williams (Ed.), </w:t>
      </w:r>
      <w:r>
        <w:rPr>
          <w:rFonts w:ascii="Times New Roman" w:eastAsia="Times New Roman" w:hAnsi="Times New Roman" w:cs="Times New Roman"/>
          <w:i/>
          <w:iCs/>
          <w:sz w:val="24"/>
          <w:szCs w:val="24"/>
        </w:rPr>
        <w:t xml:space="preserve">Science and </w:t>
      </w:r>
    </w:p>
    <w:p w14:paraId="445269B9"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technology in economic growth</w:t>
      </w:r>
      <w:r>
        <w:rPr>
          <w:rFonts w:ascii="Times New Roman" w:eastAsia="Times New Roman" w:hAnsi="Times New Roman" w:cs="Times New Roman"/>
          <w:sz w:val="24"/>
          <w:szCs w:val="24"/>
        </w:rPr>
        <w:t xml:space="preserve"> (pp. 385–415). Palgrave Macmillan. </w:t>
      </w:r>
      <w:hyperlink r:id="rId82">
        <w:r>
          <w:rPr>
            <w:rFonts w:ascii="Times New Roman" w:eastAsia="Times New Roman" w:hAnsi="Times New Roman" w:cs="Times New Roman"/>
            <w:color w:val="1155CC"/>
            <w:sz w:val="24"/>
            <w:szCs w:val="24"/>
            <w:u w:val="single"/>
          </w:rPr>
          <w:t>https://doi.org/10.1007/978-1-349-01731-7_15</w:t>
        </w:r>
      </w:hyperlink>
      <w:r>
        <w:rPr>
          <w:rFonts w:ascii="Times New Roman" w:eastAsia="Times New Roman" w:hAnsi="Times New Roman" w:cs="Times New Roman"/>
          <w:sz w:val="24"/>
          <w:szCs w:val="24"/>
        </w:rPr>
        <w:t xml:space="preserve">   </w:t>
      </w:r>
    </w:p>
    <w:p w14:paraId="28AEAFE1"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Taldau Analytical Center. (n.d.). Educational migration statistics.</w:t>
      </w:r>
      <w:hyperlink r:id="rId83">
        <w:r>
          <w:rPr>
            <w:rFonts w:ascii="Times New Roman" w:eastAsia="Times New Roman" w:hAnsi="Times New Roman" w:cs="Times New Roman"/>
            <w:sz w:val="24"/>
            <w:szCs w:val="24"/>
          </w:rPr>
          <w:t xml:space="preserve"> </w:t>
        </w:r>
      </w:hyperlink>
    </w:p>
    <w:p w14:paraId="509E2421"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hyperlink r:id="rId84">
        <w:r>
          <w:rPr>
            <w:rFonts w:ascii="Times New Roman" w:eastAsia="Times New Roman" w:hAnsi="Times New Roman" w:cs="Times New Roman"/>
            <w:color w:val="1155CC"/>
            <w:sz w:val="24"/>
            <w:szCs w:val="24"/>
            <w:u w:val="single"/>
          </w:rPr>
          <w:t>https://taldau.edu.kz/en/o-nas</w:t>
        </w:r>
      </w:hyperlink>
    </w:p>
    <w:p w14:paraId="5DDCD436"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Tazhibayeva, A. (2017). </w:t>
      </w:r>
      <w:r>
        <w:rPr>
          <w:rFonts w:ascii="Times New Roman" w:eastAsia="Times New Roman" w:hAnsi="Times New Roman" w:cs="Times New Roman"/>
          <w:i/>
          <w:iCs/>
          <w:sz w:val="24"/>
          <w:szCs w:val="24"/>
        </w:rPr>
        <w:t xml:space="preserve">Internationalization of higher education in Kazakhstan: state </w:t>
      </w:r>
    </w:p>
    <w:p w14:paraId="7BC60DBB"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policies and  institutional practices.</w:t>
      </w:r>
      <w:r>
        <w:rPr>
          <w:rFonts w:ascii="Times New Roman" w:eastAsia="Times New Roman" w:hAnsi="Times New Roman" w:cs="Times New Roman"/>
          <w:sz w:val="24"/>
          <w:szCs w:val="24"/>
        </w:rPr>
        <w:t xml:space="preserve"> Nazarbayev University, School of Humanities and Social Sciences. </w:t>
      </w:r>
    </w:p>
    <w:p w14:paraId="7809B145"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Tessema, M. T. (2010). Causes, challenges and prospects of brain drain: The case of Eritrea. </w:t>
      </w:r>
    </w:p>
    <w:p w14:paraId="26E2AB77"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International Migration, 48</w:t>
      </w:r>
      <w:r>
        <w:rPr>
          <w:rFonts w:ascii="Times New Roman" w:eastAsia="Times New Roman" w:hAnsi="Times New Roman" w:cs="Times New Roman"/>
          <w:sz w:val="24"/>
          <w:szCs w:val="24"/>
        </w:rPr>
        <w:t>(3), 131–157.</w:t>
      </w:r>
      <w:hyperlink r:id="rId85">
        <w:r>
          <w:rPr>
            <w:rFonts w:ascii="Times New Roman" w:eastAsia="Times New Roman" w:hAnsi="Times New Roman" w:cs="Times New Roman"/>
            <w:sz w:val="24"/>
            <w:szCs w:val="24"/>
          </w:rPr>
          <w:t xml:space="preserve"> </w:t>
        </w:r>
      </w:hyperlink>
      <w:hyperlink r:id="rId86">
        <w:r>
          <w:rPr>
            <w:rFonts w:ascii="Times New Roman" w:eastAsia="Times New Roman" w:hAnsi="Times New Roman" w:cs="Times New Roman"/>
            <w:color w:val="1155CC"/>
            <w:sz w:val="24"/>
            <w:szCs w:val="24"/>
            <w:u w:val="single"/>
          </w:rPr>
          <w:t>https://doi.org/10.1111/j.1468-2435.2009.00585.x</w:t>
        </w:r>
      </w:hyperlink>
      <w:r>
        <w:rPr>
          <w:rFonts w:ascii="Times New Roman" w:eastAsia="Times New Roman" w:hAnsi="Times New Roman" w:cs="Times New Roman"/>
          <w:sz w:val="24"/>
          <w:szCs w:val="24"/>
        </w:rPr>
        <w:t xml:space="preserve"> </w:t>
      </w:r>
    </w:p>
    <w:p w14:paraId="60D8B065" w14:textId="77777777" w:rsidR="002836A6" w:rsidRDefault="00000000" w:rsidP="006514F5">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United Nations Department of Economic and Social Affairs. (2023). </w:t>
      </w:r>
      <w:r>
        <w:rPr>
          <w:rFonts w:ascii="Times New Roman" w:eastAsia="Times New Roman" w:hAnsi="Times New Roman" w:cs="Times New Roman"/>
          <w:i/>
          <w:iCs/>
          <w:sz w:val="24"/>
          <w:szCs w:val="24"/>
        </w:rPr>
        <w:t xml:space="preserve">International migration </w:t>
      </w:r>
    </w:p>
    <w:p w14:paraId="73F40D6C" w14:textId="77777777" w:rsidR="002836A6" w:rsidRDefault="00000000" w:rsidP="006514F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report 2022</w:t>
      </w:r>
      <w:r>
        <w:rPr>
          <w:rFonts w:ascii="Times New Roman" w:eastAsia="Times New Roman" w:hAnsi="Times New Roman" w:cs="Times New Roman"/>
          <w:sz w:val="24"/>
          <w:szCs w:val="24"/>
        </w:rPr>
        <w:t>.</w:t>
      </w:r>
      <w:hyperlink r:id="rId87">
        <w:r>
          <w:rPr>
            <w:rFonts w:ascii="Times New Roman" w:eastAsia="Times New Roman" w:hAnsi="Times New Roman" w:cs="Times New Roman"/>
            <w:sz w:val="24"/>
            <w:szCs w:val="24"/>
          </w:rPr>
          <w:t xml:space="preserve"> </w:t>
        </w:r>
      </w:hyperlink>
      <w:hyperlink r:id="rId88">
        <w:r>
          <w:rPr>
            <w:rFonts w:ascii="Times New Roman" w:eastAsia="Times New Roman" w:hAnsi="Times New Roman" w:cs="Times New Roman"/>
            <w:color w:val="1155CC"/>
            <w:sz w:val="24"/>
            <w:szCs w:val="24"/>
            <w:u w:val="single"/>
          </w:rPr>
          <w:t>https://www.un.org/development/desa</w:t>
        </w:r>
      </w:hyperlink>
    </w:p>
    <w:p w14:paraId="74B3D64D"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Valei, A., &amp; Mamman, S. O. (2022). Does institutional quality matter for international </w:t>
      </w:r>
    </w:p>
    <w:p w14:paraId="323141BB" w14:textId="77777777" w:rsidR="002836A6" w:rsidRDefault="00000000" w:rsidP="006514F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migrants in their home and host country? A case of Russian Federation. </w:t>
      </w:r>
      <w:r>
        <w:rPr>
          <w:rFonts w:ascii="Times New Roman" w:eastAsia="Times New Roman" w:hAnsi="Times New Roman" w:cs="Times New Roman"/>
          <w:i/>
          <w:iCs/>
          <w:sz w:val="24"/>
          <w:szCs w:val="24"/>
        </w:rPr>
        <w:t>Spatial Economics (Prostranstvennaya Ekonomika), 18</w:t>
      </w:r>
      <w:r>
        <w:rPr>
          <w:rFonts w:ascii="Times New Roman" w:eastAsia="Times New Roman" w:hAnsi="Times New Roman" w:cs="Times New Roman"/>
          <w:sz w:val="24"/>
          <w:szCs w:val="24"/>
        </w:rPr>
        <w:t xml:space="preserve">(3), 42–62. </w:t>
      </w:r>
      <w:hyperlink r:id="rId89">
        <w:r>
          <w:rPr>
            <w:rFonts w:ascii="Times New Roman" w:eastAsia="Times New Roman" w:hAnsi="Times New Roman" w:cs="Times New Roman"/>
            <w:color w:val="1155CC"/>
            <w:sz w:val="24"/>
            <w:szCs w:val="24"/>
            <w:u w:val="single"/>
          </w:rPr>
          <w:t>https://doi.org/10.14530/se.2022.3.042-062</w:t>
        </w:r>
      </w:hyperlink>
      <w:r>
        <w:rPr>
          <w:rFonts w:ascii="Times New Roman" w:eastAsia="Times New Roman" w:hAnsi="Times New Roman" w:cs="Times New Roman"/>
          <w:sz w:val="24"/>
          <w:szCs w:val="24"/>
        </w:rPr>
        <w:t xml:space="preserve">  </w:t>
      </w:r>
    </w:p>
    <w:p w14:paraId="26B38338"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Vega-Muñoz, A., González-Gómez-del-Miño, P., &amp; Contreras-Barraza, N. (2025). The </w:t>
      </w:r>
    </w:p>
    <w:p w14:paraId="4FBDBE7B" w14:textId="77777777" w:rsidR="002836A6" w:rsidRDefault="00000000" w:rsidP="006514F5">
      <w:pPr>
        <w:spacing w:after="0" w:line="240" w:lineRule="auto"/>
        <w:ind w:left="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determinants of brain drain and the role of citizenship in skilled migration.</w:t>
      </w:r>
      <w:r>
        <w:rPr>
          <w:rFonts w:ascii="Times New Roman" w:eastAsia="Times New Roman" w:hAnsi="Times New Roman" w:cs="Times New Roman"/>
          <w:i/>
          <w:iCs/>
          <w:sz w:val="24"/>
          <w:szCs w:val="24"/>
        </w:rPr>
        <w:t>Social Sciences, 14</w:t>
      </w:r>
      <w:r>
        <w:rPr>
          <w:rFonts w:ascii="Times New Roman" w:eastAsia="Times New Roman" w:hAnsi="Times New Roman" w:cs="Times New Roman"/>
          <w:sz w:val="24"/>
          <w:szCs w:val="24"/>
        </w:rPr>
        <w:t>(3), 132.</w:t>
      </w:r>
      <w:hyperlink r:id="rId90">
        <w:r>
          <w:rPr>
            <w:rFonts w:ascii="Times New Roman" w:eastAsia="Times New Roman" w:hAnsi="Times New Roman" w:cs="Times New Roman"/>
            <w:color w:val="1155CC"/>
            <w:sz w:val="24"/>
            <w:szCs w:val="24"/>
            <w:u w:val="single"/>
          </w:rPr>
          <w:t xml:space="preserve"> https://doi.org/10.3390/socsci14030132</w:t>
        </w:r>
      </w:hyperlink>
      <w:r>
        <w:rPr>
          <w:rFonts w:ascii="Times New Roman" w:eastAsia="Times New Roman" w:hAnsi="Times New Roman" w:cs="Times New Roman"/>
          <w:color w:val="1155CC"/>
          <w:sz w:val="24"/>
          <w:szCs w:val="24"/>
          <w:u w:val="single"/>
        </w:rPr>
        <w:t xml:space="preserve"> </w:t>
      </w:r>
    </w:p>
    <w:p w14:paraId="3D4144EF" w14:textId="77777777" w:rsidR="002836A6" w:rsidRDefault="00000000" w:rsidP="006514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Vizi, E. S. (1993). Reversing the brain drain from Eastern European countries: The push and </w:t>
      </w:r>
    </w:p>
    <w:p w14:paraId="5B7B305B" w14:textId="77777777" w:rsidR="006514F5" w:rsidRDefault="00000000" w:rsidP="006514F5">
      <w:pPr>
        <w:spacing w:after="0" w:line="240" w:lineRule="auto"/>
        <w:ind w:left="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pull factors. </w:t>
      </w:r>
      <w:r>
        <w:rPr>
          <w:rFonts w:ascii="Times New Roman" w:eastAsia="Times New Roman" w:hAnsi="Times New Roman" w:cs="Times New Roman"/>
          <w:i/>
          <w:iCs/>
          <w:sz w:val="24"/>
          <w:szCs w:val="24"/>
        </w:rPr>
        <w:t>Technology in Society, 15</w:t>
      </w:r>
      <w:r>
        <w:rPr>
          <w:rFonts w:ascii="Times New Roman" w:eastAsia="Times New Roman" w:hAnsi="Times New Roman" w:cs="Times New Roman"/>
          <w:sz w:val="24"/>
          <w:szCs w:val="24"/>
        </w:rPr>
        <w:t xml:space="preserve">(1), 101–109. </w:t>
      </w:r>
      <w:r>
        <w:rPr>
          <w:rFonts w:ascii="Times New Roman" w:eastAsia="Times New Roman" w:hAnsi="Times New Roman" w:cs="Times New Roman"/>
          <w:color w:val="1155CC"/>
          <w:sz w:val="24"/>
          <w:szCs w:val="24"/>
          <w:u w:val="single"/>
        </w:rPr>
        <w:t xml:space="preserve">https://doi.org/10.1016/0160-791X(93)90029-N </w:t>
      </w:r>
    </w:p>
    <w:p w14:paraId="35D93015" w14:textId="4A0FCEBE" w:rsidR="002836A6" w:rsidRDefault="00000000" w:rsidP="006514F5">
      <w:pPr>
        <w:spacing w:after="0" w:line="240" w:lineRule="auto"/>
        <w:ind w:left="720" w:hanging="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World Bank. (2023). </w:t>
      </w:r>
      <w:r>
        <w:rPr>
          <w:rFonts w:ascii="Times New Roman" w:eastAsia="Times New Roman" w:hAnsi="Times New Roman" w:cs="Times New Roman"/>
          <w:i/>
          <w:iCs/>
          <w:sz w:val="24"/>
          <w:szCs w:val="24"/>
        </w:rPr>
        <w:t>Migration and development brief</w:t>
      </w:r>
      <w:r>
        <w:rPr>
          <w:rFonts w:ascii="Times New Roman" w:eastAsia="Times New Roman" w:hAnsi="Times New Roman" w:cs="Times New Roman"/>
          <w:sz w:val="24"/>
          <w:szCs w:val="24"/>
        </w:rPr>
        <w:t>.</w:t>
      </w:r>
      <w:hyperlink r:id="rId91">
        <w:r>
          <w:rPr>
            <w:rFonts w:ascii="Times New Roman" w:eastAsia="Times New Roman" w:hAnsi="Times New Roman" w:cs="Times New Roman"/>
            <w:sz w:val="24"/>
            <w:szCs w:val="24"/>
          </w:rPr>
          <w:t xml:space="preserve"> </w:t>
        </w:r>
      </w:hyperlink>
      <w:hyperlink r:id="rId92">
        <w:r>
          <w:rPr>
            <w:rFonts w:ascii="Times New Roman" w:eastAsia="Times New Roman" w:hAnsi="Times New Roman" w:cs="Times New Roman"/>
            <w:color w:val="1155CC"/>
            <w:sz w:val="24"/>
            <w:szCs w:val="24"/>
            <w:u w:val="single"/>
          </w:rPr>
          <w:t>https://www.worldbank.org</w:t>
        </w:r>
      </w:hyperlink>
    </w:p>
    <w:p w14:paraId="68165A43" w14:textId="77777777" w:rsidR="002836A6" w:rsidRDefault="002836A6" w:rsidP="006514F5">
      <w:pPr>
        <w:spacing w:after="0" w:line="240" w:lineRule="auto"/>
        <w:jc w:val="both"/>
        <w:rPr>
          <w:rFonts w:ascii="Times New Roman" w:eastAsia="Times New Roman" w:hAnsi="Times New Roman" w:cs="Times New Roman"/>
          <w:sz w:val="24"/>
          <w:szCs w:val="24"/>
        </w:rPr>
      </w:pPr>
    </w:p>
    <w:sectPr w:rsidR="002836A6">
      <w:footerReference w:type="default" r:id="rId9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238B9" w14:textId="77777777" w:rsidR="000E4C02" w:rsidRDefault="000E4C02">
      <w:pPr>
        <w:spacing w:after="0" w:line="240" w:lineRule="auto"/>
      </w:pPr>
      <w:r>
        <w:separator/>
      </w:r>
    </w:p>
  </w:endnote>
  <w:endnote w:type="continuationSeparator" w:id="0">
    <w:p w14:paraId="35EBCF65" w14:textId="77777777" w:rsidR="000E4C02" w:rsidRDefault="000E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AC572EC-6425-1945-BE19-2C8E0C01B0EC}"/>
    <w:embedBold r:id="rId2" w:fontKey="{92AB7C0B-2BA6-7246-B0DE-11973CAA3198}"/>
    <w:embedItalic r:id="rId3" w:fontKey="{A096EA6E-F8F2-DC40-BD27-249602789521}"/>
    <w:embedBoldItalic r:id="rId4" w:fontKey="{54755160-8C16-AC4A-8389-B099E167D696}"/>
  </w:font>
  <w:font w:name="Aptos">
    <w:panose1 w:val="020B0004020202020204"/>
    <w:charset w:val="00"/>
    <w:family w:val="swiss"/>
    <w:pitch w:val="variable"/>
    <w:sig w:usb0="20000287" w:usb1="00000003" w:usb2="00000000" w:usb3="00000000" w:csb0="0000019F" w:csb1="00000000"/>
    <w:embedRegular r:id="rId5" w:fontKey="{F885D3A9-F6C2-AD48-8A75-7F8E5EDBCE55}"/>
    <w:embedItalic r:id="rId6" w:fontKey="{7BBF4704-2D85-A545-B690-334F2469D833}"/>
  </w:font>
  <w:font w:name="Play">
    <w:altName w:val="Calibri"/>
    <w:panose1 w:val="020B0604020202020204"/>
    <w:charset w:val="00"/>
    <w:family w:val="auto"/>
    <w:pitch w:val="default"/>
  </w:font>
  <w:font w:name="Gungsuh">
    <w:panose1 w:val="02030600000101010101"/>
    <w:charset w:val="81"/>
    <w:family w:val="roman"/>
    <w:pitch w:val="variable"/>
    <w:sig w:usb0="B00002AF" w:usb1="69D77CFB" w:usb2="00000030" w:usb3="00000000" w:csb0="0008009F" w:csb1="00000000"/>
    <w:embedBold r:id="rId8" w:subsetted="1" w:fontKey="{A076B0FA-12AC-0746-8CC0-A3B9505D40EC}"/>
  </w:font>
  <w:font w:name="Calibri">
    <w:panose1 w:val="020F0502020204030204"/>
    <w:charset w:val="00"/>
    <w:family w:val="swiss"/>
    <w:pitch w:val="variable"/>
    <w:sig w:usb0="E4002EFF" w:usb1="C200247B" w:usb2="00000009" w:usb3="00000000" w:csb0="000001FF" w:csb1="00000000"/>
    <w:embedRegular r:id="rId9" w:fontKey="{BC7595E6-ABF0-B445-BE0A-AE93DA230A87}"/>
  </w:font>
  <w:font w:name="Cambria">
    <w:panose1 w:val="02040503050406030204"/>
    <w:charset w:val="00"/>
    <w:family w:val="roman"/>
    <w:pitch w:val="variable"/>
    <w:sig w:usb0="E00006FF" w:usb1="420024FF" w:usb2="02000000" w:usb3="00000000" w:csb0="0000019F" w:csb1="00000000"/>
    <w:embedRegular r:id="rId10" w:fontKey="{BC8DC3D5-1E6A-094C-9381-087CA198D3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06F1" w14:textId="744CB85D" w:rsidR="002836A6" w:rsidRDefault="002836A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D7878" w14:textId="77777777" w:rsidR="000E4C02" w:rsidRDefault="000E4C02">
      <w:pPr>
        <w:spacing w:after="0" w:line="240" w:lineRule="auto"/>
      </w:pPr>
      <w:r>
        <w:separator/>
      </w:r>
    </w:p>
  </w:footnote>
  <w:footnote w:type="continuationSeparator" w:id="0">
    <w:p w14:paraId="3CEA7492" w14:textId="77777777" w:rsidR="000E4C02" w:rsidRDefault="000E4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1ADD"/>
    <w:multiLevelType w:val="multilevel"/>
    <w:tmpl w:val="4120D840"/>
    <w:lvl w:ilvl="0">
      <w:start w:val="1"/>
      <w:numFmt w:val="decimal"/>
      <w:lvlText w:val="%1."/>
      <w:lvlJc w:val="left"/>
      <w:pPr>
        <w:ind w:left="720" w:hanging="360"/>
      </w:pPr>
      <w:rPr>
        <w:u w:val="none"/>
        <w:vertAlign w:val="superscrip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9470A6"/>
    <w:multiLevelType w:val="hybridMultilevel"/>
    <w:tmpl w:val="80C20388"/>
    <w:lvl w:ilvl="0" w:tplc="B6D20AEE">
      <w:start w:val="1"/>
      <w:numFmt w:val="decimal"/>
      <w:lvlText w:val="%1."/>
      <w:lvlJc w:val="left"/>
      <w:pPr>
        <w:ind w:left="928" w:hanging="360"/>
      </w:pPr>
      <w:rPr>
        <w:rFonts w:hint="default"/>
        <w:vertAlign w:val="superscrip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181649D3"/>
    <w:multiLevelType w:val="hybridMultilevel"/>
    <w:tmpl w:val="EFFA147C"/>
    <w:lvl w:ilvl="0" w:tplc="1BD2A7AA">
      <w:start w:val="2"/>
      <w:numFmt w:val="decimal"/>
      <w:lvlText w:val="%1."/>
      <w:lvlJc w:val="left"/>
      <w:pPr>
        <w:ind w:left="928" w:hanging="360"/>
      </w:pPr>
      <w:rPr>
        <w:rFonts w:hint="default"/>
        <w:vertAlign w:val="superscrip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193570823">
    <w:abstractNumId w:val="1"/>
  </w:num>
  <w:num w:numId="2" w16cid:durableId="716858223">
    <w:abstractNumId w:val="2"/>
  </w:num>
  <w:num w:numId="3" w16cid:durableId="39211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6A6"/>
    <w:rsid w:val="000C19B0"/>
    <w:rsid w:val="000C7E1F"/>
    <w:rsid w:val="000E4C02"/>
    <w:rsid w:val="0019478D"/>
    <w:rsid w:val="002450FE"/>
    <w:rsid w:val="002836A6"/>
    <w:rsid w:val="003B31C2"/>
    <w:rsid w:val="003D710C"/>
    <w:rsid w:val="00425F5A"/>
    <w:rsid w:val="004C711B"/>
    <w:rsid w:val="004F081E"/>
    <w:rsid w:val="00631B47"/>
    <w:rsid w:val="006514F5"/>
    <w:rsid w:val="00AB2D83"/>
    <w:rsid w:val="00ED11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AA95"/>
  <w15:docId w15:val="{74BEB59F-2746-2643-8F53-C0B510D1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ListParagraph">
    <w:name w:val="List Paragraph"/>
    <w:basedOn w:val="Normal"/>
    <w:uiPriority w:val="34"/>
    <w:qFormat/>
    <w:rsid w:val="00425F5A"/>
    <w:pPr>
      <w:ind w:left="720"/>
      <w:contextualSpacing/>
    </w:pPr>
  </w:style>
  <w:style w:type="paragraph" w:styleId="NormalWeb">
    <w:name w:val="Normal (Web)"/>
    <w:basedOn w:val="Normal"/>
    <w:uiPriority w:val="99"/>
    <w:semiHidden/>
    <w:unhideWhenUsed/>
    <w:rsid w:val="006514F5"/>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6514F5"/>
    <w:rPr>
      <w:b/>
      <w:bCs/>
    </w:rPr>
  </w:style>
  <w:style w:type="paragraph" w:styleId="Header">
    <w:name w:val="header"/>
    <w:basedOn w:val="Normal"/>
    <w:link w:val="HeaderChar"/>
    <w:uiPriority w:val="99"/>
    <w:unhideWhenUsed/>
    <w:rsid w:val="00651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4F5"/>
  </w:style>
  <w:style w:type="paragraph" w:styleId="Footer">
    <w:name w:val="footer"/>
    <w:basedOn w:val="Normal"/>
    <w:link w:val="FooterChar"/>
    <w:uiPriority w:val="99"/>
    <w:unhideWhenUsed/>
    <w:rsid w:val="00651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350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91/1478088706qp063oa" TargetMode="External"/><Relationship Id="rId21" Type="http://schemas.openxmlformats.org/officeDocument/2006/relationships/hyperlink" Target="https://ulysmedia.kz/news/27810-kak-kazakhstan-poterial-35-tysiach-uchenykh-za-gody-nezavisimosti/" TargetMode="External"/><Relationship Id="rId42" Type="http://schemas.openxmlformats.org/officeDocument/2006/relationships/hyperlink" Target="https://doi.org/10.1080/14683850903314931" TargetMode="External"/><Relationship Id="rId47" Type="http://schemas.openxmlformats.org/officeDocument/2006/relationships/hyperlink" Target="https://doi.org/10.14254/2071-789X.2021/14-4/14" TargetMode="External"/><Relationship Id="rId63" Type="http://schemas.openxmlformats.org/officeDocument/2006/relationships/hyperlink" Target="https://doi.org/10.1179/isr.1990.15.3.193" TargetMode="External"/><Relationship Id="rId68" Type="http://schemas.openxmlformats.org/officeDocument/2006/relationships/hyperlink" Target="https://bizmedia.kz/2024-03-06-v-minnauki-pridumali-kak-vernut-uehavshih-iz-kazahstana-uchenyh/" TargetMode="External"/><Relationship Id="rId84" Type="http://schemas.openxmlformats.org/officeDocument/2006/relationships/hyperlink" Target="https://taldau.edu.kz/en/o-nas" TargetMode="External"/><Relationship Id="rId89" Type="http://schemas.openxmlformats.org/officeDocument/2006/relationships/hyperlink" Target="https://doi.org/10.14530/se.2022.3.042-062" TargetMode="External"/><Relationship Id="rId16" Type="http://schemas.openxmlformats.org/officeDocument/2006/relationships/hyperlink" Target="https://doi.org/10.1016/j.glmedi.2025.100198" TargetMode="External"/><Relationship Id="rId11" Type="http://schemas.openxmlformats.org/officeDocument/2006/relationships/hyperlink" Target="https://bizmedia.kz/2024-03-06-v-minnauki-pridumali-kak-vernut-uehavshih-iz-kazahstana-uchenyh/?utm_source=chatgpt.com" TargetMode="External"/><Relationship Id="rId32" Type="http://schemas.openxmlformats.org/officeDocument/2006/relationships/hyperlink" Target="https://doi.org/10.1093/wber/lhm008" TargetMode="External"/><Relationship Id="rId37" Type="http://schemas.openxmlformats.org/officeDocument/2006/relationships/hyperlink" Target="https://files.worldhappiness.report/WHR18.pdf?utm_source=chatgpt.com" TargetMode="External"/><Relationship Id="rId53" Type="http://schemas.openxmlformats.org/officeDocument/2006/relationships/hyperlink" Target="https://doi.org/10.1111/j.1465-3435.2011.01508.x" TargetMode="External"/><Relationship Id="rId58" Type="http://schemas.openxmlformats.org/officeDocument/2006/relationships/hyperlink" Target="https://doi.org/10.1016/j.jacr.2024.03.005" TargetMode="External"/><Relationship Id="rId74" Type="http://schemas.openxmlformats.org/officeDocument/2006/relationships/hyperlink" Target="https://doi.org/10.1108/IJSE-05-2013-0109" TargetMode="External"/><Relationship Id="rId79" Type="http://schemas.openxmlformats.org/officeDocument/2006/relationships/hyperlink" Target="https://doi.org/10.1016/j.sbspro.2016.09.032" TargetMode="External"/><Relationship Id="rId5" Type="http://schemas.openxmlformats.org/officeDocument/2006/relationships/webSettings" Target="webSettings.xml"/><Relationship Id="rId90" Type="http://schemas.openxmlformats.org/officeDocument/2006/relationships/hyperlink" Target="https://doi.org/10.3390/socsci14030132" TargetMode="External"/><Relationship Id="rId95" Type="http://schemas.openxmlformats.org/officeDocument/2006/relationships/theme" Target="theme/theme1.xml"/><Relationship Id="rId22" Type="http://schemas.openxmlformats.org/officeDocument/2006/relationships/hyperlink" Target="https://doi.org/10.1016/S0304-3878(00)00133-4" TargetMode="External"/><Relationship Id="rId27" Type="http://schemas.openxmlformats.org/officeDocument/2006/relationships/hyperlink" Target="https://stat.gov.kz/?utm_source=chatgpt.com" TargetMode="External"/><Relationship Id="rId43" Type="http://schemas.openxmlformats.org/officeDocument/2006/relationships/hyperlink" Target="https://doi.org/10.1002/hpm.2819" TargetMode="External"/><Relationship Id="rId48" Type="http://schemas.openxmlformats.org/officeDocument/2006/relationships/hyperlink" Target="https://orda.kz/tokaev-prizval-kazahstanskih-uchenyh-vernutsja-iz-za-rubezha-385034/?utm_source=chatgpt.com" TargetMode="External"/><Relationship Id="rId64" Type="http://schemas.openxmlformats.org/officeDocument/2006/relationships/hyperlink" Target="https://doi.org/10.1179/isr.1990.15.3.193" TargetMode="External"/><Relationship Id="rId69" Type="http://schemas.openxmlformats.org/officeDocument/2006/relationships/hyperlink" Target="https://doi.org/10.33327/AJEE-18-7.4-a000128" TargetMode="External"/><Relationship Id="rId8" Type="http://schemas.openxmlformats.org/officeDocument/2006/relationships/hyperlink" Target="mailto:akerke.ayaganova@zhubanov.edu.kz" TargetMode="External"/><Relationship Id="rId51" Type="http://schemas.openxmlformats.org/officeDocument/2006/relationships/hyperlink" Target="https://doi.org/10.1111/ejed.12449" TargetMode="External"/><Relationship Id="rId72" Type="http://schemas.openxmlformats.org/officeDocument/2006/relationships/hyperlink" Target="https://doi.org/10.1007/s40847-024-00414-9" TargetMode="External"/><Relationship Id="rId80" Type="http://schemas.openxmlformats.org/officeDocument/2006/relationships/hyperlink" Target="https://doi.org/10.1353/dem.2005.0008" TargetMode="External"/><Relationship Id="rId85" Type="http://schemas.openxmlformats.org/officeDocument/2006/relationships/hyperlink" Target="https://doi.org/10.1111/j.1468-2435.2009.00585.x"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books.google.com/" TargetMode="External"/><Relationship Id="rId17" Type="http://schemas.openxmlformats.org/officeDocument/2006/relationships/hyperlink" Target="https://www.researchgate.net/publication/385084519_The_effect_of_war_on_the_brain_drain_the_case_of_Russia" TargetMode="External"/><Relationship Id="rId25" Type="http://schemas.openxmlformats.org/officeDocument/2006/relationships/hyperlink" Target="https://doi.org/10.1191/1478088706qp063oa" TargetMode="External"/><Relationship Id="rId33" Type="http://schemas.openxmlformats.org/officeDocument/2006/relationships/hyperlink" Target="https://doi.org/10.1080/14672715.2015.1057029" TargetMode="External"/><Relationship Id="rId38" Type="http://schemas.openxmlformats.org/officeDocument/2006/relationships/hyperlink" Target="https://files.worldhappiness.report/WHR18.pdf?utm_source=chatgpt.com" TargetMode="External"/><Relationship Id="rId46" Type="http://schemas.openxmlformats.org/officeDocument/2006/relationships/hyperlink" Target="https://doi.org/10.1177/1028315318773147" TargetMode="External"/><Relationship Id="rId59" Type="http://schemas.openxmlformats.org/officeDocument/2006/relationships/hyperlink" Target="https://doi.org/10.1163/17932548-12341300" TargetMode="External"/><Relationship Id="rId67" Type="http://schemas.openxmlformats.org/officeDocument/2006/relationships/hyperlink" Target="https://bizmedia.kz/2024-03-06-v-minnauki-pridumali-kak-vernut-uehavshih-iz-kazahstana-uchenyh/" TargetMode="External"/><Relationship Id="rId20" Type="http://schemas.openxmlformats.org/officeDocument/2006/relationships/hyperlink" Target="https://ulysmedia.kz/news/27810-kak-kazakhstan-poterial-35-tysiach-uchenykh-za-gody-nezavisimosti/" TargetMode="External"/><Relationship Id="rId41" Type="http://schemas.openxmlformats.org/officeDocument/2006/relationships/hyperlink" Target="https://doi.org/10.1080/14683850903314931" TargetMode="External"/><Relationship Id="rId54" Type="http://schemas.openxmlformats.org/officeDocument/2006/relationships/hyperlink" Target="https://doi.org/10.2307/2060063" TargetMode="External"/><Relationship Id="rId62" Type="http://schemas.openxmlformats.org/officeDocument/2006/relationships/hyperlink" Target="https://doi.org/10.4103/sja.sja_549_23" TargetMode="External"/><Relationship Id="rId70" Type="http://schemas.openxmlformats.org/officeDocument/2006/relationships/hyperlink" Target="https://doi.org/10.33327/AJEE-18-7.4-a000128" TargetMode="External"/><Relationship Id="rId75" Type="http://schemas.openxmlformats.org/officeDocument/2006/relationships/hyperlink" Target="https://doi.org/10.1787/c3e35eec-en" TargetMode="External"/><Relationship Id="rId83" Type="http://schemas.openxmlformats.org/officeDocument/2006/relationships/hyperlink" Target="https://taldau.edu.kz/en/o-nas" TargetMode="External"/><Relationship Id="rId88" Type="http://schemas.openxmlformats.org/officeDocument/2006/relationships/hyperlink" Target="https://www.un.org/development/desa" TargetMode="External"/><Relationship Id="rId91" Type="http://schemas.openxmlformats.org/officeDocument/2006/relationships/hyperlink" Target="https://www.worldbank.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glmedi.2025.100198" TargetMode="External"/><Relationship Id="rId23" Type="http://schemas.openxmlformats.org/officeDocument/2006/relationships/hyperlink" Target="https://jsser.org/index.php/jsser/article/view/5226" TargetMode="External"/><Relationship Id="rId28" Type="http://schemas.openxmlformats.org/officeDocument/2006/relationships/hyperlink" Target="https://doi.org/10.1080/0141987042000177306" TargetMode="External"/><Relationship Id="rId36" Type="http://schemas.openxmlformats.org/officeDocument/2006/relationships/hyperlink" Target="https://doi.org/10.1016/j.chieco.2015.02.005" TargetMode="External"/><Relationship Id="rId49" Type="http://schemas.openxmlformats.org/officeDocument/2006/relationships/hyperlink" Target="https://orda.kz/tokaev-prizval-kazahstanskih-uchenyh-vernutsja-iz-za-rubezha-385034/?utm_source=chatgpt.com" TargetMode="External"/><Relationship Id="rId57" Type="http://schemas.openxmlformats.org/officeDocument/2006/relationships/hyperlink" Target="https://doi.org/10.1016/j.jacr.2024.03.005" TargetMode="External"/><Relationship Id="rId10" Type="http://schemas.openxmlformats.org/officeDocument/2006/relationships/image" Target="media/image2.png"/><Relationship Id="rId31" Type="http://schemas.openxmlformats.org/officeDocument/2006/relationships/hyperlink" Target="https://ora.ox.ac.uk/objects/uuid:0b10d9e8-810e-4f49-b76f-ba4d6b1faa86" TargetMode="External"/><Relationship Id="rId44" Type="http://schemas.openxmlformats.org/officeDocument/2006/relationships/hyperlink" Target="https://doi.org/10.1002/hpm.2819" TargetMode="External"/><Relationship Id="rId52" Type="http://schemas.openxmlformats.org/officeDocument/2006/relationships/hyperlink" Target="https://doi.org/10.1111/j.1547-5069.2003.00107.x" TargetMode="External"/><Relationship Id="rId60" Type="http://schemas.openxmlformats.org/officeDocument/2006/relationships/hyperlink" Target="https://doi.org/10.1080/1369183X.2023.2270314" TargetMode="External"/><Relationship Id="rId65" Type="http://schemas.openxmlformats.org/officeDocument/2006/relationships/hyperlink" Target="https://enic-kazakhstan.edu.kz/files/1679046163/1-sayasat-nurbek---koncepciya-mnvo.pdf" TargetMode="External"/><Relationship Id="rId73" Type="http://schemas.openxmlformats.org/officeDocument/2006/relationships/hyperlink" Target="https://doi.org/10.1108/IJSE-05-2013-0109" TargetMode="External"/><Relationship Id="rId78" Type="http://schemas.openxmlformats.org/officeDocument/2006/relationships/hyperlink" Target="https://doi.org/10.1016/j.sbspro.2016.09.032" TargetMode="External"/><Relationship Id="rId81" Type="http://schemas.openxmlformats.org/officeDocument/2006/relationships/hyperlink" Target="https://doi.org/10.1353/dem.2005.0008" TargetMode="External"/><Relationship Id="rId86" Type="http://schemas.openxmlformats.org/officeDocument/2006/relationships/hyperlink" Target="https://doi.org/10.1111/j.1468-2435.2009.00585.x"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books.google.com/" TargetMode="External"/><Relationship Id="rId18" Type="http://schemas.openxmlformats.org/officeDocument/2006/relationships/hyperlink" Target="https://www.researchgate.net/publication/385084519_The_effect_of_war_on_the_brain_drain_the_case_of_Russia" TargetMode="External"/><Relationship Id="rId39" Type="http://schemas.openxmlformats.org/officeDocument/2006/relationships/hyperlink" Target="https://enic-kazakhstan.edu.kz" TargetMode="External"/><Relationship Id="rId34" Type="http://schemas.openxmlformats.org/officeDocument/2006/relationships/hyperlink" Target="https://doi.org/10.1080/10438590903432871" TargetMode="External"/><Relationship Id="rId50" Type="http://schemas.openxmlformats.org/officeDocument/2006/relationships/hyperlink" Target="https://doi.org/10.1111/ejed.12449" TargetMode="External"/><Relationship Id="rId55" Type="http://schemas.openxmlformats.org/officeDocument/2006/relationships/hyperlink" Target="https://doi.org/10.2307/2060063" TargetMode="External"/><Relationship Id="rId76" Type="http://schemas.openxmlformats.org/officeDocument/2006/relationships/hyperlink" Target="https://doi.org/10.1080/17486830903561403" TargetMode="External"/><Relationship Id="rId7" Type="http://schemas.openxmlformats.org/officeDocument/2006/relationships/endnotes" Target="endnotes.xml"/><Relationship Id="rId71" Type="http://schemas.openxmlformats.org/officeDocument/2006/relationships/hyperlink" Target="https://doi.org/10.1007/s40847-024-00414-9" TargetMode="External"/><Relationship Id="rId92" Type="http://schemas.openxmlformats.org/officeDocument/2006/relationships/hyperlink" Target="https://www.worldbank.org" TargetMode="External"/><Relationship Id="rId2" Type="http://schemas.openxmlformats.org/officeDocument/2006/relationships/numbering" Target="numbering.xml"/><Relationship Id="rId29" Type="http://schemas.openxmlformats.org/officeDocument/2006/relationships/hyperlink" Target="https://doi.org/10.1111/imre.12095" TargetMode="External"/><Relationship Id="rId24" Type="http://schemas.openxmlformats.org/officeDocument/2006/relationships/hyperlink" Target="https://jsser.org/index.php/jsser/article/view/5226" TargetMode="External"/><Relationship Id="rId40" Type="http://schemas.openxmlformats.org/officeDocument/2006/relationships/hyperlink" Target="https://enic-kazakhstan.edu.kz" TargetMode="External"/><Relationship Id="rId45" Type="http://schemas.openxmlformats.org/officeDocument/2006/relationships/hyperlink" Target="https://doi.org/10.1016/j.postcomstud.2004.09.003" TargetMode="External"/><Relationship Id="rId66" Type="http://schemas.openxmlformats.org/officeDocument/2006/relationships/hyperlink" Target="https://enic-kazakhstan.edu.kz/files/1679046163/1-sayasat-nurbek---koncepciya-mnvo.pdf" TargetMode="External"/><Relationship Id="rId87" Type="http://schemas.openxmlformats.org/officeDocument/2006/relationships/hyperlink" Target="https://www.un.org/development/desa" TargetMode="External"/><Relationship Id="rId61" Type="http://schemas.openxmlformats.org/officeDocument/2006/relationships/hyperlink" Target="https://doi.org/10.1080/1369183X.2023.2270314" TargetMode="External"/><Relationship Id="rId82" Type="http://schemas.openxmlformats.org/officeDocument/2006/relationships/hyperlink" Target="https://doi.org/10.1007/978-1-349-01731-7_15" TargetMode="External"/><Relationship Id="rId19" Type="http://schemas.openxmlformats.org/officeDocument/2006/relationships/hyperlink" Target="https://doi.org/10.1016/j.econmod.2022.105802" TargetMode="External"/><Relationship Id="rId14" Type="http://schemas.openxmlformats.org/officeDocument/2006/relationships/hyperlink" Target="https://doi.org/10.1007/s10903-006-9003-0" TargetMode="External"/><Relationship Id="rId30" Type="http://schemas.openxmlformats.org/officeDocument/2006/relationships/hyperlink" Target="https://doi.org/10.1007/s40812-023-00286-w" TargetMode="External"/><Relationship Id="rId35" Type="http://schemas.openxmlformats.org/officeDocument/2006/relationships/hyperlink" Target="https://doi.org/10.1111/imig.12165" TargetMode="External"/><Relationship Id="rId56" Type="http://schemas.openxmlformats.org/officeDocument/2006/relationships/hyperlink" Target="https://doi.org/10.1038/37200" TargetMode="External"/><Relationship Id="rId77" Type="http://schemas.openxmlformats.org/officeDocument/2006/relationships/hyperlink" Target="https://doi.org/10.1108/WJEMSD-10-2019-008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LeWAcjpa/6EJ3YinyjUpM7MU8A==">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10881</Words>
  <Characters>62023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Aliya Kuzhabekova</cp:lastModifiedBy>
  <cp:revision>2</cp:revision>
  <dcterms:created xsi:type="dcterms:W3CDTF">2026-06-29T19:26:00Z</dcterms:created>
  <dcterms:modified xsi:type="dcterms:W3CDTF">2026-06-29T19:26:00Z</dcterms:modified>
</cp:coreProperties>
</file>