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AAEB6" w14:textId="283E0203" w:rsidR="009C7830" w:rsidRDefault="009C7830" w:rsidP="009C7830">
      <w:pPr>
        <w:spacing w:line="240" w:lineRule="auto"/>
        <w:jc w:val="center"/>
        <w:rPr>
          <w:rFonts w:ascii="Times New Roman" w:eastAsia="Times New Roman" w:hAnsi="Times New Roman" w:cs="Times New Roman"/>
          <w:i/>
          <w:iCs/>
          <w:sz w:val="24"/>
          <w:szCs w:val="24"/>
        </w:rPr>
      </w:pPr>
      <w:r w:rsidRPr="003D710C">
        <w:rPr>
          <w:rFonts w:ascii="Times New Roman" w:eastAsia="Times New Roman" w:hAnsi="Times New Roman" w:cs="Times New Roman"/>
          <w:i/>
          <w:iCs/>
          <w:sz w:val="24"/>
          <w:szCs w:val="24"/>
        </w:rPr>
        <w:t>RESEARCH PAPER</w:t>
      </w:r>
    </w:p>
    <w:p w14:paraId="6DDFF52B" w14:textId="77777777" w:rsidR="009C7830" w:rsidRDefault="009C7830" w:rsidP="009C7830">
      <w:pPr>
        <w:spacing w:line="240" w:lineRule="auto"/>
        <w:jc w:val="center"/>
        <w:rPr>
          <w:rFonts w:ascii="Times New Roman" w:eastAsia="Times New Roman" w:hAnsi="Times New Roman" w:cs="Times New Roman"/>
          <w:i/>
          <w:iCs/>
          <w:sz w:val="24"/>
          <w:szCs w:val="24"/>
        </w:rPr>
      </w:pPr>
    </w:p>
    <w:p w14:paraId="18DB96F3" w14:textId="77777777" w:rsidR="009C7830" w:rsidRDefault="009C7830">
      <w:pPr>
        <w:spacing w:line="240" w:lineRule="auto"/>
        <w:jc w:val="center"/>
        <w:rPr>
          <w:rFonts w:ascii="Times New Roman" w:eastAsia="Times New Roman" w:hAnsi="Times New Roman" w:cs="Times New Roman"/>
          <w:b/>
          <w:bCs/>
          <w:sz w:val="24"/>
          <w:szCs w:val="24"/>
        </w:rPr>
      </w:pPr>
    </w:p>
    <w:p w14:paraId="0459FDD8" w14:textId="767F51AB" w:rsidR="004C7857"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Who Gets In? </w:t>
      </w:r>
      <w:r>
        <w:rPr>
          <w:rFonts w:ascii="Times New Roman" w:eastAsia="Times New Roman" w:hAnsi="Times New Roman" w:cs="Times New Roman"/>
          <w:b/>
          <w:bCs/>
          <w:sz w:val="24"/>
          <w:szCs w:val="24"/>
        </w:rPr>
        <w:br/>
        <w:t>Inequality in Access to Elite Higher Education</w:t>
      </w:r>
    </w:p>
    <w:p w14:paraId="0D6CF6A0" w14:textId="77777777" w:rsidR="009C7830" w:rsidRDefault="009C7830">
      <w:pPr>
        <w:spacing w:line="240" w:lineRule="auto"/>
        <w:jc w:val="center"/>
        <w:rPr>
          <w:rFonts w:ascii="Times New Roman" w:eastAsia="Times New Roman" w:hAnsi="Times New Roman" w:cs="Times New Roman"/>
          <w:b/>
          <w:bCs/>
          <w:sz w:val="24"/>
          <w:szCs w:val="24"/>
        </w:rPr>
      </w:pPr>
    </w:p>
    <w:p w14:paraId="19C82C9D" w14:textId="77777777" w:rsidR="00AE0E05" w:rsidRDefault="00AE0E05">
      <w:pPr>
        <w:spacing w:line="240" w:lineRule="auto"/>
        <w:jc w:val="center"/>
        <w:rPr>
          <w:rFonts w:ascii="Times New Roman" w:eastAsia="Times New Roman" w:hAnsi="Times New Roman" w:cs="Times New Roman"/>
          <w:b/>
          <w:bCs/>
          <w:sz w:val="24"/>
          <w:szCs w:val="24"/>
        </w:rPr>
      </w:pPr>
    </w:p>
    <w:p w14:paraId="62BAC54B" w14:textId="6DDE940B" w:rsidR="00AE0E05" w:rsidRPr="00AD70E8" w:rsidRDefault="00AE0E05" w:rsidP="00892A30">
      <w:pPr>
        <w:spacing w:after="200" w:line="240" w:lineRule="auto"/>
        <w:jc w:val="center"/>
        <w:rPr>
          <w:rFonts w:ascii="Times New Roman" w:eastAsia="Times New Roman" w:hAnsi="Times New Roman" w:cs="Times New Roman"/>
          <w:sz w:val="24"/>
          <w:szCs w:val="24"/>
          <w:vertAlign w:val="superscript"/>
        </w:rPr>
      </w:pPr>
      <w:proofErr w:type="spellStart"/>
      <w:r w:rsidRPr="00AD70E8">
        <w:rPr>
          <w:rFonts w:ascii="Times New Roman" w:eastAsia="Times New Roman" w:hAnsi="Times New Roman" w:cs="Times New Roman"/>
          <w:sz w:val="24"/>
          <w:szCs w:val="24"/>
        </w:rPr>
        <w:t>Baikenov</w:t>
      </w:r>
      <w:proofErr w:type="spellEnd"/>
      <w:r w:rsidR="00A84BB3">
        <w:rPr>
          <w:rFonts w:ascii="Times New Roman" w:eastAsia="Times New Roman" w:hAnsi="Times New Roman" w:cs="Times New Roman"/>
          <w:sz w:val="24"/>
          <w:szCs w:val="24"/>
        </w:rPr>
        <w:t xml:space="preserve"> Kanat</w:t>
      </w:r>
      <w:r w:rsidRPr="00AD70E8">
        <w:rPr>
          <w:rFonts w:ascii="Times New Roman" w:eastAsia="Times New Roman" w:hAnsi="Times New Roman" w:cs="Times New Roman"/>
          <w:sz w:val="24"/>
          <w:szCs w:val="24"/>
          <w:vertAlign w:val="superscript"/>
        </w:rPr>
        <w:t>1*</w:t>
      </w:r>
      <w:r w:rsidRPr="00AD70E8">
        <w:rPr>
          <w:rFonts w:ascii="Times New Roman" w:eastAsia="Times New Roman" w:hAnsi="Times New Roman" w:cs="Times New Roman"/>
          <w:sz w:val="24"/>
          <w:szCs w:val="24"/>
        </w:rPr>
        <w:t xml:space="preserve">, </w:t>
      </w:r>
      <w:proofErr w:type="spellStart"/>
      <w:r w:rsidRPr="00AD70E8">
        <w:rPr>
          <w:rFonts w:ascii="Times New Roman" w:eastAsia="Times New Roman" w:hAnsi="Times New Roman" w:cs="Times New Roman"/>
          <w:sz w:val="24"/>
          <w:szCs w:val="24"/>
        </w:rPr>
        <w:t>Nurshatayeva</w:t>
      </w:r>
      <w:proofErr w:type="spellEnd"/>
      <w:r w:rsidR="00A84BB3">
        <w:rPr>
          <w:rFonts w:ascii="Times New Roman" w:eastAsia="Times New Roman" w:hAnsi="Times New Roman" w:cs="Times New Roman"/>
          <w:sz w:val="24"/>
          <w:szCs w:val="24"/>
        </w:rPr>
        <w:t xml:space="preserve"> Aizat</w:t>
      </w:r>
      <w:r w:rsidRPr="00AD70E8">
        <w:rPr>
          <w:rFonts w:ascii="Times New Roman" w:eastAsia="Times New Roman" w:hAnsi="Times New Roman" w:cs="Times New Roman"/>
          <w:sz w:val="24"/>
          <w:szCs w:val="24"/>
          <w:vertAlign w:val="superscript"/>
        </w:rPr>
        <w:t>2</w:t>
      </w:r>
      <w:r w:rsidRPr="00AD70E8">
        <w:rPr>
          <w:rFonts w:ascii="Times New Roman" w:eastAsia="Times New Roman" w:hAnsi="Times New Roman" w:cs="Times New Roman"/>
          <w:sz w:val="24"/>
          <w:szCs w:val="24"/>
        </w:rPr>
        <w:t xml:space="preserve">, </w:t>
      </w:r>
      <w:proofErr w:type="spellStart"/>
      <w:r w:rsidRPr="00AD70E8">
        <w:rPr>
          <w:rFonts w:ascii="Times New Roman" w:eastAsia="Times New Roman" w:hAnsi="Times New Roman" w:cs="Times New Roman"/>
          <w:sz w:val="24"/>
          <w:szCs w:val="24"/>
        </w:rPr>
        <w:t>Tleuzhanuly</w:t>
      </w:r>
      <w:proofErr w:type="spellEnd"/>
      <w:r w:rsidR="00A84BB3">
        <w:rPr>
          <w:rFonts w:ascii="Times New Roman" w:eastAsia="Times New Roman" w:hAnsi="Times New Roman" w:cs="Times New Roman"/>
          <w:sz w:val="24"/>
          <w:szCs w:val="24"/>
        </w:rPr>
        <w:t xml:space="preserve"> </w:t>
      </w:r>
      <w:proofErr w:type="spellStart"/>
      <w:r w:rsidR="00A84BB3" w:rsidRPr="00AD70E8">
        <w:rPr>
          <w:rFonts w:ascii="Times New Roman" w:eastAsia="Times New Roman" w:hAnsi="Times New Roman" w:cs="Times New Roman"/>
          <w:sz w:val="24"/>
          <w:szCs w:val="24"/>
        </w:rPr>
        <w:t>Kuandyk</w:t>
      </w:r>
      <w:proofErr w:type="spellEnd"/>
      <w:r w:rsidR="00A84BB3" w:rsidRPr="00AD70E8">
        <w:rPr>
          <w:rFonts w:ascii="Times New Roman" w:eastAsia="Times New Roman" w:hAnsi="Times New Roman" w:cs="Times New Roman"/>
          <w:sz w:val="24"/>
          <w:szCs w:val="24"/>
        </w:rPr>
        <w:t xml:space="preserve"> </w:t>
      </w:r>
      <w:r w:rsidRPr="00AD70E8">
        <w:rPr>
          <w:rFonts w:ascii="Times New Roman" w:eastAsia="Times New Roman" w:hAnsi="Times New Roman" w:cs="Times New Roman"/>
          <w:sz w:val="24"/>
          <w:szCs w:val="24"/>
          <w:vertAlign w:val="superscript"/>
        </w:rPr>
        <w:t>3,4</w:t>
      </w:r>
      <w:r w:rsidRPr="00AD70E8">
        <w:rPr>
          <w:rFonts w:ascii="Times New Roman" w:eastAsia="Times New Roman" w:hAnsi="Times New Roman" w:cs="Times New Roman"/>
          <w:sz w:val="24"/>
          <w:szCs w:val="24"/>
        </w:rPr>
        <w:t xml:space="preserve">, </w:t>
      </w:r>
      <w:proofErr w:type="spellStart"/>
      <w:r w:rsidRPr="00AD70E8">
        <w:rPr>
          <w:rFonts w:ascii="Times New Roman" w:eastAsia="Times New Roman" w:hAnsi="Times New Roman" w:cs="Times New Roman"/>
          <w:sz w:val="24"/>
          <w:szCs w:val="24"/>
        </w:rPr>
        <w:t>Pilipenko</w:t>
      </w:r>
      <w:proofErr w:type="spellEnd"/>
      <w:r w:rsidR="00A84BB3">
        <w:rPr>
          <w:rFonts w:ascii="Times New Roman" w:eastAsia="Times New Roman" w:hAnsi="Times New Roman" w:cs="Times New Roman"/>
          <w:sz w:val="24"/>
          <w:szCs w:val="24"/>
        </w:rPr>
        <w:t xml:space="preserve"> </w:t>
      </w:r>
      <w:proofErr w:type="spellStart"/>
      <w:r w:rsidR="00A84BB3" w:rsidRPr="00AD70E8">
        <w:rPr>
          <w:rFonts w:ascii="Times New Roman" w:eastAsia="Times New Roman" w:hAnsi="Times New Roman" w:cs="Times New Roman"/>
          <w:sz w:val="24"/>
          <w:szCs w:val="24"/>
        </w:rPr>
        <w:t>Alexandr</w:t>
      </w:r>
      <w:proofErr w:type="spellEnd"/>
      <w:r w:rsidR="00A84BB3" w:rsidRPr="00AD70E8">
        <w:rPr>
          <w:rFonts w:ascii="Times New Roman" w:eastAsia="Times New Roman" w:hAnsi="Times New Roman" w:cs="Times New Roman"/>
          <w:sz w:val="24"/>
          <w:szCs w:val="24"/>
        </w:rPr>
        <w:t xml:space="preserve"> </w:t>
      </w:r>
      <w:r w:rsidRPr="00AD70E8">
        <w:rPr>
          <w:rFonts w:ascii="Times New Roman" w:eastAsia="Times New Roman" w:hAnsi="Times New Roman" w:cs="Times New Roman"/>
          <w:sz w:val="24"/>
          <w:szCs w:val="24"/>
          <w:vertAlign w:val="superscript"/>
        </w:rPr>
        <w:t>4</w:t>
      </w:r>
    </w:p>
    <w:p w14:paraId="322FC742" w14:textId="77777777" w:rsidR="00AE0E05" w:rsidRPr="008F27EC" w:rsidRDefault="00AE0E05" w:rsidP="00AE0E05">
      <w:pPr>
        <w:spacing w:line="240" w:lineRule="auto"/>
        <w:rPr>
          <w:rFonts w:ascii="Times New Roman" w:eastAsia="Times New Roman" w:hAnsi="Times New Roman" w:cs="Times New Roman"/>
          <w:sz w:val="24"/>
          <w:szCs w:val="24"/>
        </w:rPr>
      </w:pPr>
      <w:r w:rsidRPr="0011073A">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Graduate School of Education, </w:t>
      </w:r>
      <w:r w:rsidRPr="00AD70E8">
        <w:rPr>
          <w:rFonts w:ascii="Times New Roman" w:eastAsia="Times New Roman" w:hAnsi="Times New Roman" w:cs="Times New Roman"/>
          <w:sz w:val="24"/>
          <w:szCs w:val="24"/>
        </w:rPr>
        <w:t>Nazarbayev University, Astana, Kazakhstan</w:t>
      </w:r>
      <w:r>
        <w:rPr>
          <w:rFonts w:ascii="Times New Roman" w:eastAsia="Times New Roman" w:hAnsi="Times New Roman" w:cs="Times New Roman"/>
          <w:sz w:val="24"/>
          <w:szCs w:val="24"/>
        </w:rPr>
        <w:t xml:space="preserve">, </w:t>
      </w:r>
      <w:hyperlink r:id="rId6" w:history="1">
        <w:r w:rsidRPr="00044ECD">
          <w:rPr>
            <w:rStyle w:val="Hyperlink"/>
            <w:rFonts w:ascii="Times New Roman" w:eastAsia="Times New Roman" w:hAnsi="Times New Roman" w:cs="Times New Roman"/>
            <w:sz w:val="24"/>
            <w:szCs w:val="24"/>
          </w:rPr>
          <w:t>kanat.baikenov@nu.edu.kz</w:t>
        </w:r>
      </w:hyperlink>
      <w:r>
        <w:rPr>
          <w:rFonts w:ascii="Times New Roman" w:eastAsia="Times New Roman" w:hAnsi="Times New Roman" w:cs="Times New Roman"/>
          <w:sz w:val="24"/>
          <w:szCs w:val="24"/>
        </w:rPr>
        <w:t xml:space="preserve">, </w:t>
      </w:r>
      <w:hyperlink r:id="rId7">
        <w:r w:rsidRPr="00AD70E8">
          <w:rPr>
            <w:rFonts w:ascii="Times New Roman" w:eastAsia="Times New Roman" w:hAnsi="Times New Roman" w:cs="Times New Roman"/>
            <w:color w:val="1155CC"/>
            <w:sz w:val="24"/>
            <w:szCs w:val="24"/>
            <w:u w:val="single"/>
          </w:rPr>
          <w:t>https://orcid.org/0009-0005-6323-380X</w:t>
        </w:r>
      </w:hyperlink>
      <w:r w:rsidRPr="00AD70E8">
        <w:rPr>
          <w:rFonts w:ascii="Times New Roman" w:eastAsia="Times New Roman" w:hAnsi="Times New Roman" w:cs="Times New Roman"/>
          <w:sz w:val="24"/>
          <w:szCs w:val="24"/>
        </w:rPr>
        <w:t xml:space="preserve">   </w:t>
      </w:r>
    </w:p>
    <w:p w14:paraId="6DFBEFDD" w14:textId="77777777" w:rsidR="00AE0E05" w:rsidRPr="00AD70E8" w:rsidRDefault="00AE0E05" w:rsidP="00AE0E05">
      <w:pPr>
        <w:spacing w:line="240" w:lineRule="auto"/>
        <w:rPr>
          <w:rFonts w:ascii="Times New Roman" w:eastAsia="Times New Roman" w:hAnsi="Times New Roman" w:cs="Times New Roman"/>
          <w:sz w:val="24"/>
          <w:szCs w:val="24"/>
        </w:rPr>
      </w:pPr>
      <w:r w:rsidRPr="0011073A">
        <w:rPr>
          <w:rFonts w:ascii="Times New Roman" w:eastAsia="Times New Roman" w:hAnsi="Times New Roman" w:cs="Times New Roman"/>
          <w:sz w:val="24"/>
          <w:szCs w:val="24"/>
          <w:vertAlign w:val="superscript"/>
        </w:rPr>
        <w:t>2</w:t>
      </w:r>
      <w:r w:rsidRPr="009C6627">
        <w:rPr>
          <w:rFonts w:ascii="Times New Roman" w:eastAsia="Times New Roman" w:hAnsi="Times New Roman" w:cs="Times New Roman"/>
          <w:sz w:val="24"/>
          <w:szCs w:val="24"/>
        </w:rPr>
        <w:t>Annenberg Institute</w:t>
      </w:r>
      <w:r>
        <w:rPr>
          <w:rFonts w:ascii="Times New Roman" w:eastAsia="Times New Roman" w:hAnsi="Times New Roman" w:cs="Times New Roman"/>
          <w:sz w:val="24"/>
          <w:szCs w:val="24"/>
        </w:rPr>
        <w:t xml:space="preserve">, </w:t>
      </w:r>
      <w:r w:rsidRPr="00AD70E8">
        <w:rPr>
          <w:rFonts w:ascii="Times New Roman" w:eastAsia="Times New Roman" w:hAnsi="Times New Roman" w:cs="Times New Roman"/>
          <w:sz w:val="24"/>
          <w:szCs w:val="24"/>
        </w:rPr>
        <w:t>Brown University, Providence, Rhode Island, United States</w:t>
      </w:r>
      <w:r>
        <w:rPr>
          <w:rFonts w:ascii="Times New Roman" w:eastAsia="Times New Roman" w:hAnsi="Times New Roman" w:cs="Times New Roman"/>
          <w:sz w:val="24"/>
          <w:szCs w:val="24"/>
        </w:rPr>
        <w:t xml:space="preserve">, </w:t>
      </w:r>
      <w:hyperlink r:id="rId8" w:history="1">
        <w:r w:rsidRPr="00044ECD">
          <w:rPr>
            <w:rStyle w:val="Hyperlink"/>
            <w:rFonts w:ascii="Times New Roman" w:eastAsia="Times New Roman" w:hAnsi="Times New Roman" w:cs="Times New Roman"/>
            <w:sz w:val="24"/>
            <w:szCs w:val="24"/>
          </w:rPr>
          <w:t>aizat_nurshatayeva@brown.edu</w:t>
        </w:r>
      </w:hyperlink>
      <w:r>
        <w:rPr>
          <w:rFonts w:ascii="Times New Roman" w:eastAsia="Times New Roman" w:hAnsi="Times New Roman" w:cs="Times New Roman"/>
          <w:sz w:val="24"/>
          <w:szCs w:val="24"/>
        </w:rPr>
        <w:t xml:space="preserve">, </w:t>
      </w:r>
      <w:hyperlink r:id="rId9">
        <w:r w:rsidRPr="00AD70E8">
          <w:rPr>
            <w:rFonts w:ascii="Times New Roman" w:eastAsia="Times New Roman" w:hAnsi="Times New Roman" w:cs="Times New Roman"/>
            <w:color w:val="1155CC"/>
            <w:sz w:val="24"/>
            <w:szCs w:val="24"/>
            <w:u w:val="single"/>
          </w:rPr>
          <w:t>https://orcid.org/0000-0001-8706-6843</w:t>
        </w:r>
      </w:hyperlink>
      <w:r w:rsidRPr="00AD70E8">
        <w:rPr>
          <w:rFonts w:ascii="Times New Roman" w:eastAsia="Times New Roman" w:hAnsi="Times New Roman" w:cs="Times New Roman"/>
          <w:sz w:val="24"/>
          <w:szCs w:val="24"/>
        </w:rPr>
        <w:t xml:space="preserve">  </w:t>
      </w:r>
    </w:p>
    <w:p w14:paraId="752DD6A9" w14:textId="77777777" w:rsidR="00AE0E05" w:rsidRDefault="00AE0E05" w:rsidP="00AE0E05">
      <w:pPr>
        <w:spacing w:line="240" w:lineRule="auto"/>
        <w:rPr>
          <w:rFonts w:ascii="Times New Roman" w:eastAsia="Times New Roman" w:hAnsi="Times New Roman" w:cs="Times New Roman"/>
          <w:sz w:val="24"/>
          <w:szCs w:val="24"/>
        </w:rPr>
      </w:pPr>
      <w:r w:rsidRPr="0011073A">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Center for Educational Research, </w:t>
      </w:r>
      <w:proofErr w:type="spellStart"/>
      <w:r w:rsidRPr="00AD70E8">
        <w:rPr>
          <w:rFonts w:ascii="Times New Roman" w:eastAsia="Times New Roman" w:hAnsi="Times New Roman" w:cs="Times New Roman"/>
          <w:sz w:val="24"/>
          <w:szCs w:val="24"/>
        </w:rPr>
        <w:t>Narxoz</w:t>
      </w:r>
      <w:proofErr w:type="spellEnd"/>
      <w:r w:rsidRPr="00AD70E8">
        <w:rPr>
          <w:rFonts w:ascii="Times New Roman" w:eastAsia="Times New Roman" w:hAnsi="Times New Roman" w:cs="Times New Roman"/>
          <w:sz w:val="24"/>
          <w:szCs w:val="24"/>
        </w:rPr>
        <w:t xml:space="preserve"> University, Almaty, Kazakhstan</w:t>
      </w:r>
      <w:r>
        <w:rPr>
          <w:rFonts w:ascii="Times New Roman" w:eastAsia="Times New Roman" w:hAnsi="Times New Roman" w:cs="Times New Roman"/>
          <w:sz w:val="24"/>
          <w:szCs w:val="24"/>
        </w:rPr>
        <w:t xml:space="preserve">, </w:t>
      </w:r>
      <w:hyperlink r:id="rId10" w:history="1">
        <w:r w:rsidRPr="00044ECD">
          <w:rPr>
            <w:rStyle w:val="Hyperlink"/>
            <w:rFonts w:ascii="Times New Roman" w:eastAsia="Times New Roman" w:hAnsi="Times New Roman" w:cs="Times New Roman"/>
            <w:sz w:val="24"/>
            <w:szCs w:val="24"/>
          </w:rPr>
          <w:t>kuandyk.tleuzhanuly@narxoz.kz</w:t>
        </w:r>
      </w:hyperlink>
      <w:r>
        <w:rPr>
          <w:rFonts w:ascii="Times New Roman" w:eastAsia="Times New Roman" w:hAnsi="Times New Roman" w:cs="Times New Roman"/>
          <w:sz w:val="24"/>
          <w:szCs w:val="24"/>
        </w:rPr>
        <w:t xml:space="preserve">, </w:t>
      </w:r>
      <w:hyperlink r:id="rId11">
        <w:r w:rsidRPr="00AD70E8">
          <w:rPr>
            <w:rFonts w:ascii="Times New Roman" w:eastAsia="Times New Roman" w:hAnsi="Times New Roman" w:cs="Times New Roman"/>
            <w:color w:val="1155CC"/>
            <w:sz w:val="24"/>
            <w:szCs w:val="24"/>
            <w:u w:val="single"/>
          </w:rPr>
          <w:t>https://orcid.org/0000-0002-6787-068X</w:t>
        </w:r>
      </w:hyperlink>
      <w:r w:rsidRPr="00AD70E8">
        <w:rPr>
          <w:rFonts w:ascii="Times New Roman" w:eastAsia="Times New Roman" w:hAnsi="Times New Roman" w:cs="Times New Roman"/>
          <w:sz w:val="24"/>
          <w:szCs w:val="24"/>
        </w:rPr>
        <w:t xml:space="preserve">   </w:t>
      </w:r>
    </w:p>
    <w:p w14:paraId="7A910874" w14:textId="77777777" w:rsidR="00AE0E05" w:rsidRDefault="00AE0E05" w:rsidP="00AE0E05">
      <w:pPr>
        <w:spacing w:line="240" w:lineRule="auto"/>
        <w:rPr>
          <w:rFonts w:ascii="Times New Roman" w:eastAsia="Times New Roman" w:hAnsi="Times New Roman" w:cs="Times New Roman"/>
          <w:color w:val="1F1F1F"/>
          <w:sz w:val="24"/>
          <w:szCs w:val="24"/>
        </w:rPr>
      </w:pPr>
      <w:r w:rsidRPr="0011073A">
        <w:rPr>
          <w:rFonts w:ascii="Times New Roman" w:eastAsia="Times New Roman" w:hAnsi="Times New Roman" w:cs="Times New Roman"/>
          <w:color w:val="1F1F1F"/>
          <w:sz w:val="24"/>
          <w:szCs w:val="24"/>
          <w:highlight w:val="white"/>
          <w:vertAlign w:val="superscript"/>
        </w:rPr>
        <w:t>4</w:t>
      </w:r>
      <w:r w:rsidRPr="0011073A">
        <w:rPr>
          <w:rFonts w:ascii="Times New Roman" w:eastAsia="Times New Roman" w:hAnsi="Times New Roman" w:cs="Times New Roman"/>
          <w:color w:val="1F1F1F"/>
          <w:sz w:val="24"/>
          <w:szCs w:val="24"/>
          <w:highlight w:val="white"/>
        </w:rPr>
        <w:t xml:space="preserve">Akhmet </w:t>
      </w:r>
      <w:proofErr w:type="spellStart"/>
      <w:r w:rsidRPr="0011073A">
        <w:rPr>
          <w:rFonts w:ascii="Times New Roman" w:eastAsia="Times New Roman" w:hAnsi="Times New Roman" w:cs="Times New Roman"/>
          <w:color w:val="1F1F1F"/>
          <w:sz w:val="24"/>
          <w:szCs w:val="24"/>
          <w:highlight w:val="white"/>
        </w:rPr>
        <w:t>Baitursynuly</w:t>
      </w:r>
      <w:proofErr w:type="spellEnd"/>
      <w:r w:rsidRPr="0011073A">
        <w:rPr>
          <w:rFonts w:ascii="Times New Roman" w:eastAsia="Times New Roman" w:hAnsi="Times New Roman" w:cs="Times New Roman"/>
          <w:color w:val="1F1F1F"/>
          <w:sz w:val="24"/>
          <w:szCs w:val="24"/>
          <w:highlight w:val="white"/>
        </w:rPr>
        <w:t xml:space="preserve"> National Centre for Research and Evaluation of Education “</w:t>
      </w:r>
      <w:proofErr w:type="spellStart"/>
      <w:r w:rsidRPr="0011073A">
        <w:rPr>
          <w:rFonts w:ascii="Times New Roman" w:eastAsia="Times New Roman" w:hAnsi="Times New Roman" w:cs="Times New Roman"/>
          <w:color w:val="1F1F1F"/>
          <w:sz w:val="24"/>
          <w:szCs w:val="24"/>
          <w:highlight w:val="white"/>
        </w:rPr>
        <w:t>Taldau</w:t>
      </w:r>
      <w:proofErr w:type="spellEnd"/>
      <w:r w:rsidRPr="0011073A">
        <w:rPr>
          <w:rFonts w:ascii="Times New Roman" w:eastAsia="Times New Roman" w:hAnsi="Times New Roman" w:cs="Times New Roman"/>
          <w:color w:val="1F1F1F"/>
          <w:sz w:val="24"/>
          <w:szCs w:val="24"/>
          <w:highlight w:val="white"/>
        </w:rPr>
        <w:t>”, Astana, Kazakhstan</w:t>
      </w:r>
      <w:r w:rsidRPr="0011073A">
        <w:rPr>
          <w:rFonts w:ascii="Times New Roman" w:eastAsia="Times New Roman" w:hAnsi="Times New Roman" w:cs="Times New Roman"/>
          <w:color w:val="1F1F1F"/>
          <w:sz w:val="24"/>
          <w:szCs w:val="24"/>
        </w:rPr>
        <w:t xml:space="preserve">, </w:t>
      </w:r>
      <w:hyperlink r:id="rId12" w:history="1">
        <w:r w:rsidRPr="0011073A">
          <w:rPr>
            <w:rStyle w:val="Hyperlink"/>
            <w:rFonts w:ascii="Times New Roman" w:eastAsia="Times New Roman" w:hAnsi="Times New Roman" w:cs="Times New Roman"/>
            <w:sz w:val="24"/>
            <w:szCs w:val="24"/>
          </w:rPr>
          <w:t>a.pilipenko@taldau.edu.kz</w:t>
        </w:r>
      </w:hyperlink>
      <w:r>
        <w:rPr>
          <w:rFonts w:ascii="Times New Roman" w:eastAsia="Times New Roman" w:hAnsi="Times New Roman" w:cs="Times New Roman"/>
          <w:color w:val="1F1F1F"/>
          <w:sz w:val="24"/>
          <w:szCs w:val="24"/>
        </w:rPr>
        <w:t xml:space="preserve">, </w:t>
      </w:r>
      <w:hyperlink r:id="rId13">
        <w:r w:rsidRPr="00AD70E8">
          <w:rPr>
            <w:rFonts w:ascii="Times New Roman" w:eastAsia="Times New Roman" w:hAnsi="Times New Roman" w:cs="Times New Roman"/>
            <w:color w:val="1155CC"/>
            <w:sz w:val="24"/>
            <w:szCs w:val="24"/>
            <w:u w:val="single"/>
          </w:rPr>
          <w:t>https://orcid.org/0009-0000-8830-2764</w:t>
        </w:r>
      </w:hyperlink>
    </w:p>
    <w:p w14:paraId="67AC941B" w14:textId="43CD68C8" w:rsidR="00AE0E05" w:rsidRDefault="00AE0E05">
      <w:pPr>
        <w:spacing w:line="240" w:lineRule="auto"/>
        <w:jc w:val="center"/>
        <w:rPr>
          <w:rFonts w:ascii="Times New Roman" w:eastAsia="Times New Roman" w:hAnsi="Times New Roman" w:cs="Times New Roman"/>
          <w:b/>
          <w:bCs/>
          <w:sz w:val="24"/>
          <w:szCs w:val="24"/>
        </w:rPr>
      </w:pPr>
    </w:p>
    <w:p w14:paraId="3A39ABBB" w14:textId="77777777" w:rsidR="009C7830" w:rsidRDefault="009C7830">
      <w:pPr>
        <w:spacing w:line="240" w:lineRule="auto"/>
        <w:jc w:val="center"/>
        <w:rPr>
          <w:rFonts w:ascii="Times New Roman" w:eastAsia="Times New Roman" w:hAnsi="Times New Roman" w:cs="Times New Roman"/>
          <w:b/>
          <w:bCs/>
          <w:sz w:val="24"/>
          <w:szCs w:val="24"/>
        </w:rPr>
      </w:pPr>
    </w:p>
    <w:p w14:paraId="48D1A439" w14:textId="4440D686" w:rsidR="004C7857"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14:paraId="06729D89" w14:textId="77777777" w:rsidR="0009791B" w:rsidRDefault="0009791B" w:rsidP="0009791B">
      <w:pPr>
        <w:spacing w:line="240" w:lineRule="auto"/>
        <w:rPr>
          <w:rFonts w:ascii="Times New Roman" w:eastAsia="Times New Roman" w:hAnsi="Times New Roman" w:cs="Times New Roman"/>
          <w:b/>
          <w:bCs/>
          <w:sz w:val="24"/>
          <w:szCs w:val="24"/>
        </w:rPr>
      </w:pPr>
    </w:p>
    <w:p w14:paraId="2D96000A"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provides the first national-level quantitative evidence on inequality in access to elite higher education in Kazakhstan. Using administrative data on the universe of secondary school graduates between 2021 and 2023 (</w:t>
      </w:r>
      <w:r>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 xml:space="preserve"> = 499,150), we examine how individual- and school-level characteristics shape access to Nazarbayev University (NU), the country’s most selective and well-resourced postsecondary institution. We document a strong concentration of NU enrollment among graduates of selective exam-based public secondary schools. Although these schools educate fewer than 5  percent of students nationwide, they account for more than 80% of NU enrollees. Ceteris paribus, graduates of selective secondary schools are 2–4 percentage points more likely to enroll at NU compared to their peers in mainstream schools. Given that just 0.2% of mainstream school graduates enroll at NU, these estimates imply that students from selective schools are approximately 8 to 20 times more likely to gain access to the university. The results suggest that NU’s admissions disproportionately favor students from selective secondary schools and may thereby reinforce cumulative educational advantages and deepen vertical stratification in access to higher education in Kazakhstan. The findings underscore the need for early and targeted policy interventions aimed at reducing preparatory and informational inequalities in access to selective postsecondary institutions.</w:t>
      </w:r>
    </w:p>
    <w:p w14:paraId="3874782B" w14:textId="77777777" w:rsidR="0009791B" w:rsidRDefault="0009791B">
      <w:pPr>
        <w:spacing w:line="240" w:lineRule="auto"/>
        <w:ind w:firstLine="720"/>
        <w:rPr>
          <w:rFonts w:ascii="Times New Roman" w:eastAsia="Times New Roman" w:hAnsi="Times New Roman" w:cs="Times New Roman"/>
          <w:i/>
          <w:iCs/>
          <w:sz w:val="24"/>
          <w:szCs w:val="24"/>
        </w:rPr>
      </w:pPr>
    </w:p>
    <w:p w14:paraId="19096BDD" w14:textId="6732D9B8" w:rsidR="004C7857" w:rsidRDefault="00000000" w:rsidP="0009791B">
      <w:pPr>
        <w:spacing w:line="240" w:lineRule="auto"/>
        <w:rPr>
          <w:rFonts w:ascii="Times New Roman" w:eastAsia="Times New Roman" w:hAnsi="Times New Roman" w:cs="Times New Roman"/>
          <w:sz w:val="24"/>
          <w:szCs w:val="24"/>
        </w:rPr>
      </w:pPr>
      <w:r w:rsidRPr="0009791B">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educational inequality; access to postsecondary education; elite higher education; Kazakhstan; Nazarbayev University.</w:t>
      </w:r>
    </w:p>
    <w:p w14:paraId="109E5F81" w14:textId="77777777" w:rsidR="004D2E51" w:rsidRDefault="004D2E51" w:rsidP="004D2E51">
      <w:pPr>
        <w:pStyle w:val="pdq2pgselectionanchorcontainer"/>
      </w:pPr>
      <w:proofErr w:type="spellStart"/>
      <w:r>
        <w:rPr>
          <w:rStyle w:val="Strong"/>
        </w:rPr>
        <w:t>Аңдатпа</w:t>
      </w:r>
      <w:proofErr w:type="spellEnd"/>
    </w:p>
    <w:p w14:paraId="26C2A32B" w14:textId="77777777" w:rsidR="004D2E51" w:rsidRDefault="004D2E51" w:rsidP="004D2E51">
      <w:pPr>
        <w:pStyle w:val="NormalWeb"/>
      </w:pPr>
      <w:proofErr w:type="spellStart"/>
      <w:r>
        <w:t>Бұл</w:t>
      </w:r>
      <w:proofErr w:type="spellEnd"/>
      <w:r>
        <w:t xml:space="preserve"> </w:t>
      </w:r>
      <w:proofErr w:type="spellStart"/>
      <w:r>
        <w:t>зерттеу</w:t>
      </w:r>
      <w:proofErr w:type="spellEnd"/>
      <w:r>
        <w:t xml:space="preserve"> </w:t>
      </w:r>
      <w:proofErr w:type="spellStart"/>
      <w:r>
        <w:t>Қазақстандағы</w:t>
      </w:r>
      <w:proofErr w:type="spellEnd"/>
      <w:r>
        <w:t xml:space="preserve"> </w:t>
      </w:r>
      <w:proofErr w:type="spellStart"/>
      <w:r>
        <w:t>элиталық</w:t>
      </w:r>
      <w:proofErr w:type="spellEnd"/>
      <w:r>
        <w:t xml:space="preserve"> </w:t>
      </w:r>
      <w:proofErr w:type="spellStart"/>
      <w:r>
        <w:t>жоғары</w:t>
      </w:r>
      <w:proofErr w:type="spellEnd"/>
      <w:r>
        <w:t xml:space="preserve"> </w:t>
      </w:r>
      <w:proofErr w:type="spellStart"/>
      <w:r>
        <w:t>білімге</w:t>
      </w:r>
      <w:proofErr w:type="spellEnd"/>
      <w:r>
        <w:t xml:space="preserve"> </w:t>
      </w:r>
      <w:proofErr w:type="spellStart"/>
      <w:r>
        <w:t>қолжетімділіктегі</w:t>
      </w:r>
      <w:proofErr w:type="spellEnd"/>
      <w:r>
        <w:t xml:space="preserve"> </w:t>
      </w:r>
      <w:proofErr w:type="spellStart"/>
      <w:r>
        <w:t>теңсіздікті</w:t>
      </w:r>
      <w:proofErr w:type="spellEnd"/>
      <w:r>
        <w:t xml:space="preserve"> </w:t>
      </w:r>
      <w:proofErr w:type="spellStart"/>
      <w:r>
        <w:t>ұлттық</w:t>
      </w:r>
      <w:proofErr w:type="spellEnd"/>
      <w:r>
        <w:t xml:space="preserve"> </w:t>
      </w:r>
      <w:proofErr w:type="spellStart"/>
      <w:r>
        <w:t>деңгейде</w:t>
      </w:r>
      <w:proofErr w:type="spellEnd"/>
      <w:r>
        <w:t xml:space="preserve"> </w:t>
      </w:r>
      <w:proofErr w:type="spellStart"/>
      <w:r>
        <w:t>сандық</w:t>
      </w:r>
      <w:proofErr w:type="spellEnd"/>
      <w:r>
        <w:t xml:space="preserve"> </w:t>
      </w:r>
      <w:proofErr w:type="spellStart"/>
      <w:r>
        <w:t>тұрғыдан</w:t>
      </w:r>
      <w:proofErr w:type="spellEnd"/>
      <w:r>
        <w:t xml:space="preserve"> </w:t>
      </w:r>
      <w:proofErr w:type="spellStart"/>
      <w:r>
        <w:t>алғаш</w:t>
      </w:r>
      <w:proofErr w:type="spellEnd"/>
      <w:r>
        <w:t xml:space="preserve"> </w:t>
      </w:r>
      <w:proofErr w:type="spellStart"/>
      <w:r>
        <w:t>рет</w:t>
      </w:r>
      <w:proofErr w:type="spellEnd"/>
      <w:r>
        <w:t xml:space="preserve"> </w:t>
      </w:r>
      <w:proofErr w:type="spellStart"/>
      <w:r>
        <w:t>талдайды</w:t>
      </w:r>
      <w:proofErr w:type="spellEnd"/>
      <w:r>
        <w:t xml:space="preserve">. </w:t>
      </w:r>
      <w:proofErr w:type="spellStart"/>
      <w:r>
        <w:t>Зерттеуде</w:t>
      </w:r>
      <w:proofErr w:type="spellEnd"/>
      <w:r>
        <w:t xml:space="preserve"> 2021–2023 </w:t>
      </w:r>
      <w:proofErr w:type="spellStart"/>
      <w:r>
        <w:t>жылдар</w:t>
      </w:r>
      <w:proofErr w:type="spellEnd"/>
      <w:r>
        <w:t xml:space="preserve"> </w:t>
      </w:r>
      <w:proofErr w:type="spellStart"/>
      <w:r>
        <w:t>аралығындағы</w:t>
      </w:r>
      <w:proofErr w:type="spellEnd"/>
      <w:r>
        <w:t xml:space="preserve"> </w:t>
      </w:r>
      <w:proofErr w:type="spellStart"/>
      <w:r>
        <w:t>жалпы</w:t>
      </w:r>
      <w:proofErr w:type="spellEnd"/>
      <w:r>
        <w:t xml:space="preserve"> </w:t>
      </w:r>
      <w:proofErr w:type="spellStart"/>
      <w:r>
        <w:t>білім</w:t>
      </w:r>
      <w:proofErr w:type="spellEnd"/>
      <w:r>
        <w:t xml:space="preserve"> </w:t>
      </w:r>
      <w:proofErr w:type="spellStart"/>
      <w:r>
        <w:t>беретін</w:t>
      </w:r>
      <w:proofErr w:type="spellEnd"/>
      <w:r>
        <w:t xml:space="preserve"> </w:t>
      </w:r>
      <w:proofErr w:type="spellStart"/>
      <w:r>
        <w:t>мектеп</w:t>
      </w:r>
      <w:proofErr w:type="spellEnd"/>
      <w:r>
        <w:t xml:space="preserve"> </w:t>
      </w:r>
      <w:proofErr w:type="spellStart"/>
      <w:r>
        <w:t>түлектерінің</w:t>
      </w:r>
      <w:proofErr w:type="spellEnd"/>
      <w:r>
        <w:t xml:space="preserve"> </w:t>
      </w:r>
      <w:proofErr w:type="spellStart"/>
      <w:r>
        <w:t>толық</w:t>
      </w:r>
      <w:proofErr w:type="spellEnd"/>
      <w:r>
        <w:t xml:space="preserve"> </w:t>
      </w:r>
      <w:proofErr w:type="spellStart"/>
      <w:r>
        <w:t>әкімшілік</w:t>
      </w:r>
      <w:proofErr w:type="spellEnd"/>
      <w:r>
        <w:t xml:space="preserve"> </w:t>
      </w:r>
      <w:proofErr w:type="spellStart"/>
      <w:r>
        <w:t>деректері</w:t>
      </w:r>
      <w:proofErr w:type="spellEnd"/>
      <w:r>
        <w:t xml:space="preserve"> (N = 499 150) </w:t>
      </w:r>
      <w:proofErr w:type="spellStart"/>
      <w:r>
        <w:t>пайдаланылып</w:t>
      </w:r>
      <w:proofErr w:type="spellEnd"/>
      <w:r>
        <w:t xml:space="preserve">, </w:t>
      </w:r>
      <w:proofErr w:type="spellStart"/>
      <w:r>
        <w:t>жеке</w:t>
      </w:r>
      <w:proofErr w:type="spellEnd"/>
      <w:r>
        <w:t xml:space="preserve"> </w:t>
      </w:r>
      <w:proofErr w:type="spellStart"/>
      <w:r>
        <w:t>тұлғалық</w:t>
      </w:r>
      <w:proofErr w:type="spellEnd"/>
      <w:r>
        <w:t xml:space="preserve"> </w:t>
      </w:r>
      <w:proofErr w:type="spellStart"/>
      <w:r>
        <w:t>және</w:t>
      </w:r>
      <w:proofErr w:type="spellEnd"/>
      <w:r>
        <w:t xml:space="preserve"> </w:t>
      </w:r>
      <w:proofErr w:type="spellStart"/>
      <w:r>
        <w:t>мектеп</w:t>
      </w:r>
      <w:proofErr w:type="spellEnd"/>
      <w:r>
        <w:t xml:space="preserve"> </w:t>
      </w:r>
      <w:proofErr w:type="spellStart"/>
      <w:r>
        <w:t>деңгейіндегі</w:t>
      </w:r>
      <w:proofErr w:type="spellEnd"/>
      <w:r>
        <w:t xml:space="preserve"> </w:t>
      </w:r>
      <w:proofErr w:type="spellStart"/>
      <w:r>
        <w:t>сипаттамалардың</w:t>
      </w:r>
      <w:proofErr w:type="spellEnd"/>
      <w:r>
        <w:t xml:space="preserve"> </w:t>
      </w:r>
      <w:proofErr w:type="spellStart"/>
      <w:r>
        <w:t>елдегі</w:t>
      </w:r>
      <w:proofErr w:type="spellEnd"/>
      <w:r>
        <w:t xml:space="preserve"> </w:t>
      </w:r>
      <w:proofErr w:type="spellStart"/>
      <w:r>
        <w:t>ең</w:t>
      </w:r>
      <w:proofErr w:type="spellEnd"/>
      <w:r>
        <w:t xml:space="preserve"> </w:t>
      </w:r>
      <w:proofErr w:type="spellStart"/>
      <w:r>
        <w:t>таңдаулы</w:t>
      </w:r>
      <w:proofErr w:type="spellEnd"/>
      <w:r>
        <w:t xml:space="preserve"> </w:t>
      </w:r>
      <w:proofErr w:type="spellStart"/>
      <w:r>
        <w:t>әрі</w:t>
      </w:r>
      <w:proofErr w:type="spellEnd"/>
      <w:r>
        <w:t xml:space="preserve"> </w:t>
      </w:r>
      <w:proofErr w:type="spellStart"/>
      <w:r>
        <w:t>ресурстармен</w:t>
      </w:r>
      <w:proofErr w:type="spellEnd"/>
      <w:r>
        <w:t xml:space="preserve"> </w:t>
      </w:r>
      <w:proofErr w:type="spellStart"/>
      <w:r>
        <w:t>ең</w:t>
      </w:r>
      <w:proofErr w:type="spellEnd"/>
      <w:r>
        <w:t xml:space="preserve"> </w:t>
      </w:r>
      <w:proofErr w:type="spellStart"/>
      <w:r>
        <w:t>жақсы</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жоғары</w:t>
      </w:r>
      <w:proofErr w:type="spellEnd"/>
      <w:r>
        <w:t xml:space="preserve"> </w:t>
      </w:r>
      <w:proofErr w:type="spellStart"/>
      <w:r>
        <w:t>оқу</w:t>
      </w:r>
      <w:proofErr w:type="spellEnd"/>
      <w:r>
        <w:t xml:space="preserve"> </w:t>
      </w:r>
      <w:proofErr w:type="spellStart"/>
      <w:r>
        <w:t>орны</w:t>
      </w:r>
      <w:proofErr w:type="spellEnd"/>
      <w:r>
        <w:t xml:space="preserve"> – </w:t>
      </w:r>
      <w:proofErr w:type="spellStart"/>
      <w:r>
        <w:t>Назарбаев</w:t>
      </w:r>
      <w:proofErr w:type="spellEnd"/>
      <w:r>
        <w:t xml:space="preserve"> </w:t>
      </w:r>
      <w:proofErr w:type="spellStart"/>
      <w:r>
        <w:t>Университетіне</w:t>
      </w:r>
      <w:proofErr w:type="spellEnd"/>
      <w:r>
        <w:t xml:space="preserve"> (NU) </w:t>
      </w:r>
      <w:proofErr w:type="spellStart"/>
      <w:r>
        <w:t>түсу</w:t>
      </w:r>
      <w:proofErr w:type="spellEnd"/>
      <w:r>
        <w:t xml:space="preserve"> </w:t>
      </w:r>
      <w:proofErr w:type="spellStart"/>
      <w:r>
        <w:t>ықтималдығына</w:t>
      </w:r>
      <w:proofErr w:type="spellEnd"/>
      <w:r>
        <w:t xml:space="preserve"> </w:t>
      </w:r>
      <w:proofErr w:type="spellStart"/>
      <w:r>
        <w:t>қалай</w:t>
      </w:r>
      <w:proofErr w:type="spellEnd"/>
      <w:r>
        <w:t xml:space="preserve"> </w:t>
      </w:r>
      <w:proofErr w:type="spellStart"/>
      <w:r>
        <w:t>әсер</w:t>
      </w:r>
      <w:proofErr w:type="spellEnd"/>
      <w:r>
        <w:t xml:space="preserve"> </w:t>
      </w:r>
      <w:proofErr w:type="spellStart"/>
      <w:r>
        <w:t>ететіні</w:t>
      </w:r>
      <w:proofErr w:type="spellEnd"/>
      <w:r>
        <w:t xml:space="preserve"> </w:t>
      </w:r>
      <w:proofErr w:type="spellStart"/>
      <w:r>
        <w:t>зерттеледі</w:t>
      </w:r>
      <w:proofErr w:type="spellEnd"/>
      <w:r>
        <w:t xml:space="preserve">. </w:t>
      </w:r>
      <w:proofErr w:type="spellStart"/>
      <w:r>
        <w:t>Сипаттамалық</w:t>
      </w:r>
      <w:proofErr w:type="spellEnd"/>
      <w:r>
        <w:t xml:space="preserve"> </w:t>
      </w:r>
      <w:proofErr w:type="spellStart"/>
      <w:r>
        <w:t>талдау</w:t>
      </w:r>
      <w:proofErr w:type="spellEnd"/>
      <w:r>
        <w:t xml:space="preserve"> </w:t>
      </w:r>
      <w:proofErr w:type="spellStart"/>
      <w:r>
        <w:t>Назарбаев</w:t>
      </w:r>
      <w:proofErr w:type="spellEnd"/>
      <w:r>
        <w:t xml:space="preserve"> </w:t>
      </w:r>
      <w:proofErr w:type="spellStart"/>
      <w:r>
        <w:t>Университетіне</w:t>
      </w:r>
      <w:proofErr w:type="spellEnd"/>
      <w:r>
        <w:t xml:space="preserve"> </w:t>
      </w:r>
      <w:proofErr w:type="spellStart"/>
      <w:r>
        <w:t>қабылданған</w:t>
      </w:r>
      <w:proofErr w:type="spellEnd"/>
      <w:r>
        <w:t xml:space="preserve"> </w:t>
      </w:r>
      <w:proofErr w:type="spellStart"/>
      <w:r>
        <w:t>студенттердің</w:t>
      </w:r>
      <w:proofErr w:type="spellEnd"/>
      <w:r>
        <w:t xml:space="preserve"> </w:t>
      </w:r>
      <w:proofErr w:type="spellStart"/>
      <w:r>
        <w:t>басым</w:t>
      </w:r>
      <w:proofErr w:type="spellEnd"/>
      <w:r>
        <w:t xml:space="preserve"> </w:t>
      </w:r>
      <w:proofErr w:type="spellStart"/>
      <w:r>
        <w:lastRenderedPageBreak/>
        <w:t>бөлігі</w:t>
      </w:r>
      <w:proofErr w:type="spellEnd"/>
      <w:r>
        <w:t xml:space="preserve"> </w:t>
      </w:r>
      <w:proofErr w:type="spellStart"/>
      <w:r>
        <w:t>іріктеу</w:t>
      </w:r>
      <w:proofErr w:type="spellEnd"/>
      <w:r>
        <w:t xml:space="preserve"> </w:t>
      </w:r>
      <w:proofErr w:type="spellStart"/>
      <w:r>
        <w:t>емтихандары</w:t>
      </w:r>
      <w:proofErr w:type="spellEnd"/>
      <w:r>
        <w:t xml:space="preserve"> </w:t>
      </w:r>
      <w:proofErr w:type="spellStart"/>
      <w:r>
        <w:t>негізінде</w:t>
      </w:r>
      <w:proofErr w:type="spellEnd"/>
      <w:r>
        <w:t xml:space="preserve"> </w:t>
      </w:r>
      <w:proofErr w:type="spellStart"/>
      <w:r>
        <w:t>қабылдайтын</w:t>
      </w:r>
      <w:proofErr w:type="spellEnd"/>
      <w:r>
        <w:t xml:space="preserve"> </w:t>
      </w:r>
      <w:proofErr w:type="spellStart"/>
      <w:r>
        <w:t>мамандандырылған</w:t>
      </w:r>
      <w:proofErr w:type="spellEnd"/>
      <w:r>
        <w:t xml:space="preserve"> </w:t>
      </w:r>
      <w:proofErr w:type="spellStart"/>
      <w:r>
        <w:t>мемлекеттік</w:t>
      </w:r>
      <w:proofErr w:type="spellEnd"/>
      <w:r>
        <w:t xml:space="preserve"> </w:t>
      </w:r>
      <w:proofErr w:type="spellStart"/>
      <w:r>
        <w:t>мектептердің</w:t>
      </w:r>
      <w:proofErr w:type="spellEnd"/>
      <w:r>
        <w:t xml:space="preserve"> </w:t>
      </w:r>
      <w:proofErr w:type="spellStart"/>
      <w:r>
        <w:t>түлектері</w:t>
      </w:r>
      <w:proofErr w:type="spellEnd"/>
      <w:r>
        <w:t xml:space="preserve"> </w:t>
      </w:r>
      <w:proofErr w:type="spellStart"/>
      <w:r>
        <w:t>екенін</w:t>
      </w:r>
      <w:proofErr w:type="spellEnd"/>
      <w:r>
        <w:t xml:space="preserve"> </w:t>
      </w:r>
      <w:proofErr w:type="spellStart"/>
      <w:r>
        <w:t>көрсетеді</w:t>
      </w:r>
      <w:proofErr w:type="spellEnd"/>
      <w:r>
        <w:t xml:space="preserve">. </w:t>
      </w:r>
      <w:proofErr w:type="spellStart"/>
      <w:r>
        <w:t>Мұндай</w:t>
      </w:r>
      <w:proofErr w:type="spellEnd"/>
      <w:r>
        <w:t xml:space="preserve"> </w:t>
      </w:r>
      <w:proofErr w:type="spellStart"/>
      <w:r>
        <w:t>мектептерде</w:t>
      </w:r>
      <w:proofErr w:type="spellEnd"/>
      <w:r>
        <w:t xml:space="preserve"> </w:t>
      </w:r>
      <w:proofErr w:type="spellStart"/>
      <w:r>
        <w:t>еліміздегі</w:t>
      </w:r>
      <w:proofErr w:type="spellEnd"/>
      <w:r>
        <w:t xml:space="preserve"> </w:t>
      </w:r>
      <w:proofErr w:type="spellStart"/>
      <w:r>
        <w:t>оқушылардың</w:t>
      </w:r>
      <w:proofErr w:type="spellEnd"/>
      <w:r>
        <w:t xml:space="preserve"> 5%-</w:t>
      </w:r>
      <w:proofErr w:type="spellStart"/>
      <w:r>
        <w:t>дан</w:t>
      </w:r>
      <w:proofErr w:type="spellEnd"/>
      <w:r>
        <w:t xml:space="preserve"> </w:t>
      </w:r>
      <w:proofErr w:type="spellStart"/>
      <w:r>
        <w:t>азы</w:t>
      </w:r>
      <w:proofErr w:type="spellEnd"/>
      <w:r>
        <w:t xml:space="preserve"> </w:t>
      </w:r>
      <w:proofErr w:type="spellStart"/>
      <w:r>
        <w:t>ғана</w:t>
      </w:r>
      <w:proofErr w:type="spellEnd"/>
      <w:r>
        <w:t xml:space="preserve"> </w:t>
      </w:r>
      <w:proofErr w:type="spellStart"/>
      <w:r>
        <w:t>білім</w:t>
      </w:r>
      <w:proofErr w:type="spellEnd"/>
      <w:r>
        <w:t xml:space="preserve"> </w:t>
      </w:r>
      <w:proofErr w:type="spellStart"/>
      <w:r>
        <w:t>алғанымен</w:t>
      </w:r>
      <w:proofErr w:type="spellEnd"/>
      <w:r>
        <w:t xml:space="preserve">, </w:t>
      </w:r>
      <w:proofErr w:type="spellStart"/>
      <w:r>
        <w:t>олар</w:t>
      </w:r>
      <w:proofErr w:type="spellEnd"/>
      <w:r>
        <w:t xml:space="preserve"> NU </w:t>
      </w:r>
      <w:proofErr w:type="spellStart"/>
      <w:r>
        <w:t>студенттерінің</w:t>
      </w:r>
      <w:proofErr w:type="spellEnd"/>
      <w:r>
        <w:t xml:space="preserve"> 80%-</w:t>
      </w:r>
      <w:proofErr w:type="spellStart"/>
      <w:r>
        <w:t>дан</w:t>
      </w:r>
      <w:proofErr w:type="spellEnd"/>
      <w:r>
        <w:t xml:space="preserve"> </w:t>
      </w:r>
      <w:proofErr w:type="spellStart"/>
      <w:r>
        <w:t>астамын</w:t>
      </w:r>
      <w:proofErr w:type="spellEnd"/>
      <w:r>
        <w:t xml:space="preserve"> </w:t>
      </w:r>
      <w:proofErr w:type="spellStart"/>
      <w:r>
        <w:t>құрайды</w:t>
      </w:r>
      <w:proofErr w:type="spellEnd"/>
      <w:r>
        <w:t xml:space="preserve">. </w:t>
      </w:r>
      <w:proofErr w:type="spellStart"/>
      <w:r>
        <w:t>Көпфакторлы</w:t>
      </w:r>
      <w:proofErr w:type="spellEnd"/>
      <w:r>
        <w:t xml:space="preserve"> </w:t>
      </w:r>
      <w:proofErr w:type="spellStart"/>
      <w:r>
        <w:t>талдау</w:t>
      </w:r>
      <w:proofErr w:type="spellEnd"/>
      <w:r>
        <w:t xml:space="preserve"> </w:t>
      </w:r>
      <w:proofErr w:type="spellStart"/>
      <w:r>
        <w:t>нәтижелері</w:t>
      </w:r>
      <w:proofErr w:type="spellEnd"/>
      <w:r>
        <w:t xml:space="preserve"> </w:t>
      </w:r>
      <w:proofErr w:type="spellStart"/>
      <w:r>
        <w:t>басқа</w:t>
      </w:r>
      <w:proofErr w:type="spellEnd"/>
      <w:r>
        <w:t xml:space="preserve"> </w:t>
      </w:r>
      <w:proofErr w:type="spellStart"/>
      <w:r>
        <w:t>факторлар</w:t>
      </w:r>
      <w:proofErr w:type="spellEnd"/>
      <w:r>
        <w:t xml:space="preserve"> </w:t>
      </w:r>
      <w:proofErr w:type="spellStart"/>
      <w:r>
        <w:t>тұрақты</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іріктелген</w:t>
      </w:r>
      <w:proofErr w:type="spellEnd"/>
      <w:r>
        <w:t xml:space="preserve"> </w:t>
      </w:r>
      <w:proofErr w:type="spellStart"/>
      <w:r>
        <w:t>орта</w:t>
      </w:r>
      <w:proofErr w:type="spellEnd"/>
      <w:r>
        <w:t xml:space="preserve"> </w:t>
      </w:r>
      <w:proofErr w:type="spellStart"/>
      <w:r>
        <w:t>мектептердің</w:t>
      </w:r>
      <w:proofErr w:type="spellEnd"/>
      <w:r>
        <w:t xml:space="preserve"> </w:t>
      </w:r>
      <w:proofErr w:type="spellStart"/>
      <w:r>
        <w:t>түлектерінің</w:t>
      </w:r>
      <w:proofErr w:type="spellEnd"/>
      <w:r>
        <w:t xml:space="preserve"> </w:t>
      </w:r>
      <w:proofErr w:type="spellStart"/>
      <w:r>
        <w:t>Назарбаев</w:t>
      </w:r>
      <w:proofErr w:type="spellEnd"/>
      <w:r>
        <w:t xml:space="preserve"> </w:t>
      </w:r>
      <w:proofErr w:type="spellStart"/>
      <w:r>
        <w:t>Университетіне</w:t>
      </w:r>
      <w:proofErr w:type="spellEnd"/>
      <w:r>
        <w:t xml:space="preserve"> </w:t>
      </w:r>
      <w:proofErr w:type="spellStart"/>
      <w:r>
        <w:t>түсу</w:t>
      </w:r>
      <w:proofErr w:type="spellEnd"/>
      <w:r>
        <w:t xml:space="preserve"> </w:t>
      </w:r>
      <w:proofErr w:type="spellStart"/>
      <w:r>
        <w:t>ықтималдығы</w:t>
      </w:r>
      <w:proofErr w:type="spellEnd"/>
      <w:r>
        <w:t xml:space="preserve"> </w:t>
      </w:r>
      <w:proofErr w:type="spellStart"/>
      <w:r>
        <w:t>жалпы</w:t>
      </w:r>
      <w:proofErr w:type="spellEnd"/>
      <w:r>
        <w:t xml:space="preserve"> </w:t>
      </w:r>
      <w:proofErr w:type="spellStart"/>
      <w:r>
        <w:t>білім</w:t>
      </w:r>
      <w:proofErr w:type="spellEnd"/>
      <w:r>
        <w:t xml:space="preserve"> </w:t>
      </w:r>
      <w:proofErr w:type="spellStart"/>
      <w:r>
        <w:t>беретін</w:t>
      </w:r>
      <w:proofErr w:type="spellEnd"/>
      <w:r>
        <w:t xml:space="preserve"> </w:t>
      </w:r>
      <w:proofErr w:type="spellStart"/>
      <w:r>
        <w:t>мектеп</w:t>
      </w:r>
      <w:proofErr w:type="spellEnd"/>
      <w:r>
        <w:t xml:space="preserve"> </w:t>
      </w:r>
      <w:proofErr w:type="spellStart"/>
      <w:r>
        <w:t>түлектерімен</w:t>
      </w:r>
      <w:proofErr w:type="spellEnd"/>
      <w:r>
        <w:t xml:space="preserve"> </w:t>
      </w:r>
      <w:proofErr w:type="spellStart"/>
      <w:r>
        <w:t>салыстырғанда</w:t>
      </w:r>
      <w:proofErr w:type="spellEnd"/>
      <w:r>
        <w:t xml:space="preserve"> 2–4 </w:t>
      </w:r>
      <w:proofErr w:type="spellStart"/>
      <w:r>
        <w:t>пайыздық</w:t>
      </w:r>
      <w:proofErr w:type="spellEnd"/>
      <w:r>
        <w:t xml:space="preserve"> </w:t>
      </w:r>
      <w:proofErr w:type="spellStart"/>
      <w:r>
        <w:t>тармаққа</w:t>
      </w:r>
      <w:proofErr w:type="spellEnd"/>
      <w:r>
        <w:t xml:space="preserve"> </w:t>
      </w:r>
      <w:proofErr w:type="spellStart"/>
      <w:r>
        <w:t>жоғары</w:t>
      </w:r>
      <w:proofErr w:type="spellEnd"/>
      <w:r>
        <w:t xml:space="preserve"> </w:t>
      </w:r>
      <w:proofErr w:type="spellStart"/>
      <w:r>
        <w:t>екенін</w:t>
      </w:r>
      <w:proofErr w:type="spellEnd"/>
      <w:r>
        <w:t xml:space="preserve"> </w:t>
      </w:r>
      <w:proofErr w:type="spellStart"/>
      <w:r>
        <w:t>көрсетті</w:t>
      </w:r>
      <w:proofErr w:type="spellEnd"/>
      <w:r>
        <w:t xml:space="preserve">. </w:t>
      </w:r>
      <w:proofErr w:type="spellStart"/>
      <w:r>
        <w:t>Жалпы</w:t>
      </w:r>
      <w:proofErr w:type="spellEnd"/>
      <w:r>
        <w:t xml:space="preserve"> </w:t>
      </w:r>
      <w:proofErr w:type="spellStart"/>
      <w:r>
        <w:t>білім</w:t>
      </w:r>
      <w:proofErr w:type="spellEnd"/>
      <w:r>
        <w:t xml:space="preserve"> </w:t>
      </w:r>
      <w:proofErr w:type="spellStart"/>
      <w:r>
        <w:t>беретін</w:t>
      </w:r>
      <w:proofErr w:type="spellEnd"/>
      <w:r>
        <w:t xml:space="preserve"> </w:t>
      </w:r>
      <w:proofErr w:type="spellStart"/>
      <w:r>
        <w:t>мектептердің</w:t>
      </w:r>
      <w:proofErr w:type="spellEnd"/>
      <w:r>
        <w:t xml:space="preserve"> </w:t>
      </w:r>
      <w:proofErr w:type="spellStart"/>
      <w:r>
        <w:t>түлектерінің</w:t>
      </w:r>
      <w:proofErr w:type="spellEnd"/>
      <w:r>
        <w:t xml:space="preserve"> </w:t>
      </w:r>
      <w:proofErr w:type="spellStart"/>
      <w:r>
        <w:t>небәрі</w:t>
      </w:r>
      <w:proofErr w:type="spellEnd"/>
      <w:r>
        <w:t xml:space="preserve"> 0,2%-ы </w:t>
      </w:r>
      <w:proofErr w:type="spellStart"/>
      <w:r>
        <w:t>ғана</w:t>
      </w:r>
      <w:proofErr w:type="spellEnd"/>
      <w:r>
        <w:t xml:space="preserve"> NU-</w:t>
      </w:r>
      <w:proofErr w:type="spellStart"/>
      <w:r>
        <w:t>ға</w:t>
      </w:r>
      <w:proofErr w:type="spellEnd"/>
      <w:r>
        <w:t xml:space="preserve"> </w:t>
      </w:r>
      <w:proofErr w:type="spellStart"/>
      <w:r>
        <w:t>түсетінін</w:t>
      </w:r>
      <w:proofErr w:type="spellEnd"/>
      <w:r>
        <w:t xml:space="preserve"> </w:t>
      </w:r>
      <w:proofErr w:type="spellStart"/>
      <w:r>
        <w:t>ескерсек</w:t>
      </w:r>
      <w:proofErr w:type="spellEnd"/>
      <w:r>
        <w:t xml:space="preserve">, </w:t>
      </w:r>
      <w:proofErr w:type="spellStart"/>
      <w:r>
        <w:t>бұл</w:t>
      </w:r>
      <w:proofErr w:type="spellEnd"/>
      <w:r>
        <w:t xml:space="preserve"> </w:t>
      </w:r>
      <w:proofErr w:type="spellStart"/>
      <w:r>
        <w:t>көрсеткіш</w:t>
      </w:r>
      <w:proofErr w:type="spellEnd"/>
      <w:r>
        <w:t xml:space="preserve"> </w:t>
      </w:r>
      <w:proofErr w:type="spellStart"/>
      <w:r>
        <w:t>мамандандырылған</w:t>
      </w:r>
      <w:proofErr w:type="spellEnd"/>
      <w:r>
        <w:t xml:space="preserve"> </w:t>
      </w:r>
      <w:proofErr w:type="spellStart"/>
      <w:r>
        <w:t>мектеп</w:t>
      </w:r>
      <w:proofErr w:type="spellEnd"/>
      <w:r>
        <w:t xml:space="preserve"> </w:t>
      </w:r>
      <w:proofErr w:type="spellStart"/>
      <w:r>
        <w:t>түлектерінің</w:t>
      </w:r>
      <w:proofErr w:type="spellEnd"/>
      <w:r>
        <w:t xml:space="preserve"> </w:t>
      </w:r>
      <w:proofErr w:type="spellStart"/>
      <w:r>
        <w:t>университетке</w:t>
      </w:r>
      <w:proofErr w:type="spellEnd"/>
      <w:r>
        <w:t xml:space="preserve"> </w:t>
      </w:r>
      <w:proofErr w:type="spellStart"/>
      <w:r>
        <w:t>түсу</w:t>
      </w:r>
      <w:proofErr w:type="spellEnd"/>
      <w:r>
        <w:t xml:space="preserve"> </w:t>
      </w:r>
      <w:proofErr w:type="spellStart"/>
      <w:r>
        <w:t>ықтималдығы</w:t>
      </w:r>
      <w:proofErr w:type="spellEnd"/>
      <w:r>
        <w:t xml:space="preserve"> </w:t>
      </w:r>
      <w:proofErr w:type="spellStart"/>
      <w:r>
        <w:t>шамамен</w:t>
      </w:r>
      <w:proofErr w:type="spellEnd"/>
      <w:r>
        <w:t xml:space="preserve"> 8–20 </w:t>
      </w:r>
      <w:proofErr w:type="spellStart"/>
      <w:r>
        <w:t>есе</w:t>
      </w:r>
      <w:proofErr w:type="spellEnd"/>
      <w:r>
        <w:t xml:space="preserve"> </w:t>
      </w:r>
      <w:proofErr w:type="spellStart"/>
      <w:r>
        <w:t>жоғары</w:t>
      </w:r>
      <w:proofErr w:type="spellEnd"/>
      <w:r>
        <w:t xml:space="preserve"> </w:t>
      </w:r>
      <w:proofErr w:type="spellStart"/>
      <w:r>
        <w:t>екенін</w:t>
      </w:r>
      <w:proofErr w:type="spellEnd"/>
      <w:r>
        <w:t xml:space="preserve"> </w:t>
      </w:r>
      <w:proofErr w:type="spellStart"/>
      <w:r>
        <w:t>білдіреді</w:t>
      </w:r>
      <w:proofErr w:type="spellEnd"/>
      <w:r>
        <w:t xml:space="preserve">. </w:t>
      </w:r>
      <w:proofErr w:type="spellStart"/>
      <w:r>
        <w:t>Зерттеу</w:t>
      </w:r>
      <w:proofErr w:type="spellEnd"/>
      <w:r>
        <w:t xml:space="preserve"> </w:t>
      </w:r>
      <w:proofErr w:type="spellStart"/>
      <w:r>
        <w:t>нәтижелері</w:t>
      </w:r>
      <w:proofErr w:type="spellEnd"/>
      <w:r>
        <w:t xml:space="preserve"> </w:t>
      </w:r>
      <w:proofErr w:type="spellStart"/>
      <w:r>
        <w:t>Қазақстанның</w:t>
      </w:r>
      <w:proofErr w:type="spellEnd"/>
      <w:r>
        <w:t xml:space="preserve"> </w:t>
      </w:r>
      <w:proofErr w:type="spellStart"/>
      <w:r>
        <w:t>жетекші</w:t>
      </w:r>
      <w:proofErr w:type="spellEnd"/>
      <w:r>
        <w:t xml:space="preserve"> </w:t>
      </w:r>
      <w:proofErr w:type="spellStart"/>
      <w:r>
        <w:t>университетіне</w:t>
      </w:r>
      <w:proofErr w:type="spellEnd"/>
      <w:r>
        <w:t xml:space="preserve"> </w:t>
      </w:r>
      <w:proofErr w:type="spellStart"/>
      <w:r>
        <w:t>қолжетімділіктің</w:t>
      </w:r>
      <w:proofErr w:type="spellEnd"/>
      <w:r>
        <w:t xml:space="preserve"> </w:t>
      </w:r>
      <w:proofErr w:type="spellStart"/>
      <w:r>
        <w:t>негізінен</w:t>
      </w:r>
      <w:proofErr w:type="spellEnd"/>
      <w:r>
        <w:t xml:space="preserve"> </w:t>
      </w:r>
      <w:proofErr w:type="spellStart"/>
      <w:r>
        <w:t>мамандандырылған</w:t>
      </w:r>
      <w:proofErr w:type="spellEnd"/>
      <w:r>
        <w:t xml:space="preserve"> </w:t>
      </w:r>
      <w:proofErr w:type="spellStart"/>
      <w:r>
        <w:t>орта</w:t>
      </w:r>
      <w:proofErr w:type="spellEnd"/>
      <w:r>
        <w:t xml:space="preserve"> </w:t>
      </w:r>
      <w:proofErr w:type="spellStart"/>
      <w:r>
        <w:t>мектептердің</w:t>
      </w:r>
      <w:proofErr w:type="spellEnd"/>
      <w:r>
        <w:t xml:space="preserve"> </w:t>
      </w:r>
      <w:proofErr w:type="spellStart"/>
      <w:r>
        <w:t>түлектері</w:t>
      </w:r>
      <w:proofErr w:type="spellEnd"/>
      <w:r>
        <w:t xml:space="preserve"> </w:t>
      </w:r>
      <w:proofErr w:type="spellStart"/>
      <w:r>
        <w:t>арасында</w:t>
      </w:r>
      <w:proofErr w:type="spellEnd"/>
      <w:r>
        <w:t xml:space="preserve"> </w:t>
      </w:r>
      <w:proofErr w:type="spellStart"/>
      <w:r>
        <w:t>шоғырланғанын</w:t>
      </w:r>
      <w:proofErr w:type="spellEnd"/>
      <w:r>
        <w:t xml:space="preserve"> </w:t>
      </w:r>
      <w:proofErr w:type="spellStart"/>
      <w:r>
        <w:t>және</w:t>
      </w:r>
      <w:proofErr w:type="spellEnd"/>
      <w:r>
        <w:t xml:space="preserve"> </w:t>
      </w:r>
      <w:proofErr w:type="spellStart"/>
      <w:r>
        <w:t>қолданыстағы</w:t>
      </w:r>
      <w:proofErr w:type="spellEnd"/>
      <w:r>
        <w:t xml:space="preserve"> </w:t>
      </w:r>
      <w:proofErr w:type="spellStart"/>
      <w:r>
        <w:t>қабылдау</w:t>
      </w:r>
      <w:proofErr w:type="spellEnd"/>
      <w:r>
        <w:t xml:space="preserve"> </w:t>
      </w:r>
      <w:proofErr w:type="spellStart"/>
      <w:r>
        <w:t>жүйесі</w:t>
      </w:r>
      <w:proofErr w:type="spellEnd"/>
      <w:r>
        <w:t xml:space="preserve"> </w:t>
      </w:r>
      <w:proofErr w:type="spellStart"/>
      <w:r>
        <w:t>жинақталған</w:t>
      </w:r>
      <w:proofErr w:type="spellEnd"/>
      <w:r>
        <w:t xml:space="preserve"> </w:t>
      </w:r>
      <w:proofErr w:type="spellStart"/>
      <w:r>
        <w:t>білім</w:t>
      </w:r>
      <w:proofErr w:type="spellEnd"/>
      <w:r>
        <w:t xml:space="preserve"> </w:t>
      </w:r>
      <w:proofErr w:type="spellStart"/>
      <w:r>
        <w:t>беру</w:t>
      </w:r>
      <w:proofErr w:type="spellEnd"/>
      <w:r>
        <w:t xml:space="preserve"> </w:t>
      </w:r>
      <w:proofErr w:type="spellStart"/>
      <w:r>
        <w:t>артықшылықтарын</w:t>
      </w:r>
      <w:proofErr w:type="spellEnd"/>
      <w:r>
        <w:t xml:space="preserve"> </w:t>
      </w:r>
      <w:proofErr w:type="spellStart"/>
      <w:r>
        <w:t>қайта</w:t>
      </w:r>
      <w:proofErr w:type="spellEnd"/>
      <w:r>
        <w:t xml:space="preserve"> </w:t>
      </w:r>
      <w:proofErr w:type="spellStart"/>
      <w:r>
        <w:t>өндіруі</w:t>
      </w:r>
      <w:proofErr w:type="spellEnd"/>
      <w:r>
        <w:t xml:space="preserve"> </w:t>
      </w:r>
      <w:proofErr w:type="spellStart"/>
      <w:r>
        <w:t>әрі</w:t>
      </w:r>
      <w:proofErr w:type="spellEnd"/>
      <w:r>
        <w:t xml:space="preserve"> </w:t>
      </w:r>
      <w:proofErr w:type="spellStart"/>
      <w:r>
        <w:t>жоғары</w:t>
      </w:r>
      <w:proofErr w:type="spellEnd"/>
      <w:r>
        <w:t xml:space="preserve"> </w:t>
      </w:r>
      <w:proofErr w:type="spellStart"/>
      <w:r>
        <w:t>білімдегі</w:t>
      </w:r>
      <w:proofErr w:type="spellEnd"/>
      <w:r>
        <w:t xml:space="preserve"> </w:t>
      </w:r>
      <w:proofErr w:type="spellStart"/>
      <w:r>
        <w:t>тік</w:t>
      </w:r>
      <w:proofErr w:type="spellEnd"/>
      <w:r>
        <w:t xml:space="preserve"> </w:t>
      </w:r>
      <w:proofErr w:type="spellStart"/>
      <w:r>
        <w:t>стратификацияны</w:t>
      </w:r>
      <w:proofErr w:type="spellEnd"/>
      <w:r>
        <w:t xml:space="preserve"> </w:t>
      </w:r>
      <w:proofErr w:type="spellStart"/>
      <w:r>
        <w:t>күшейтуі</w:t>
      </w:r>
      <w:proofErr w:type="spellEnd"/>
      <w:r>
        <w:t xml:space="preserve"> </w:t>
      </w:r>
      <w:proofErr w:type="spellStart"/>
      <w:r>
        <w:t>мүмкін</w:t>
      </w:r>
      <w:proofErr w:type="spellEnd"/>
      <w:r>
        <w:t xml:space="preserve"> </w:t>
      </w:r>
      <w:proofErr w:type="spellStart"/>
      <w:r>
        <w:t>екенін</w:t>
      </w:r>
      <w:proofErr w:type="spellEnd"/>
      <w:r>
        <w:t xml:space="preserve"> </w:t>
      </w:r>
      <w:proofErr w:type="spellStart"/>
      <w:r>
        <w:t>көрсетеді</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бұл</w:t>
      </w:r>
      <w:proofErr w:type="spellEnd"/>
      <w:r>
        <w:t xml:space="preserve"> </w:t>
      </w:r>
      <w:proofErr w:type="spellStart"/>
      <w:r>
        <w:t>зерттеу</w:t>
      </w:r>
      <w:proofErr w:type="spellEnd"/>
      <w:r>
        <w:t xml:space="preserve"> </w:t>
      </w:r>
      <w:proofErr w:type="spellStart"/>
      <w:r>
        <w:t>формалды</w:t>
      </w:r>
      <w:proofErr w:type="spellEnd"/>
      <w:r>
        <w:t xml:space="preserve"> </w:t>
      </w:r>
      <w:proofErr w:type="spellStart"/>
      <w:r>
        <w:t>түрде</w:t>
      </w:r>
      <w:proofErr w:type="spellEnd"/>
      <w:r>
        <w:t xml:space="preserve"> </w:t>
      </w:r>
      <w:proofErr w:type="spellStart"/>
      <w:r>
        <w:t>меритократиялық</w:t>
      </w:r>
      <w:proofErr w:type="spellEnd"/>
      <w:r>
        <w:t xml:space="preserve"> </w:t>
      </w:r>
      <w:proofErr w:type="spellStart"/>
      <w:r>
        <w:t>қағидаттарға</w:t>
      </w:r>
      <w:proofErr w:type="spellEnd"/>
      <w:r>
        <w:t xml:space="preserve"> </w:t>
      </w:r>
      <w:proofErr w:type="spellStart"/>
      <w:r>
        <w:t>негізделген</w:t>
      </w:r>
      <w:proofErr w:type="spellEnd"/>
      <w:r>
        <w:t xml:space="preserve"> </w:t>
      </w:r>
      <w:proofErr w:type="spellStart"/>
      <w:r>
        <w:t>жүйелердің</w:t>
      </w:r>
      <w:proofErr w:type="spellEnd"/>
      <w:r>
        <w:t xml:space="preserve"> </w:t>
      </w:r>
      <w:proofErr w:type="spellStart"/>
      <w:r>
        <w:t>өзінде</w:t>
      </w:r>
      <w:proofErr w:type="spellEnd"/>
      <w:r>
        <w:t xml:space="preserve"> </w:t>
      </w:r>
      <w:proofErr w:type="spellStart"/>
      <w:r>
        <w:t>де</w:t>
      </w:r>
      <w:proofErr w:type="spellEnd"/>
      <w:r>
        <w:t xml:space="preserve"> </w:t>
      </w:r>
      <w:proofErr w:type="spellStart"/>
      <w:r>
        <w:t>мамандандырылған</w:t>
      </w:r>
      <w:proofErr w:type="spellEnd"/>
      <w:r>
        <w:t xml:space="preserve"> </w:t>
      </w:r>
      <w:proofErr w:type="spellStart"/>
      <w:r>
        <w:t>орта</w:t>
      </w:r>
      <w:proofErr w:type="spellEnd"/>
      <w:r>
        <w:t xml:space="preserve"> </w:t>
      </w:r>
      <w:proofErr w:type="spellStart"/>
      <w:r>
        <w:t>мектептердің</w:t>
      </w:r>
      <w:proofErr w:type="spellEnd"/>
      <w:r>
        <w:t xml:space="preserve"> </w:t>
      </w:r>
      <w:proofErr w:type="spellStart"/>
      <w:r>
        <w:t>элиталық</w:t>
      </w:r>
      <w:proofErr w:type="spellEnd"/>
      <w:r>
        <w:t xml:space="preserve"> </w:t>
      </w:r>
      <w:proofErr w:type="spellStart"/>
      <w:r>
        <w:t>университеттерге</w:t>
      </w:r>
      <w:proofErr w:type="spellEnd"/>
      <w:r>
        <w:t xml:space="preserve"> </w:t>
      </w:r>
      <w:proofErr w:type="spellStart"/>
      <w:r>
        <w:t>қолжетімділікті</w:t>
      </w:r>
      <w:proofErr w:type="spellEnd"/>
      <w:r>
        <w:t xml:space="preserve"> </w:t>
      </w:r>
      <w:proofErr w:type="spellStart"/>
      <w:r>
        <w:t>айқындауда</w:t>
      </w:r>
      <w:proofErr w:type="spellEnd"/>
      <w:r>
        <w:t xml:space="preserve"> </w:t>
      </w:r>
      <w:proofErr w:type="spellStart"/>
      <w:r>
        <w:t>маңызды</w:t>
      </w:r>
      <w:proofErr w:type="spellEnd"/>
      <w:r>
        <w:t xml:space="preserve"> </w:t>
      </w:r>
      <w:proofErr w:type="spellStart"/>
      <w:r>
        <w:t>рөл</w:t>
      </w:r>
      <w:proofErr w:type="spellEnd"/>
      <w:r>
        <w:t xml:space="preserve"> </w:t>
      </w:r>
      <w:proofErr w:type="spellStart"/>
      <w:r>
        <w:t>атқаратынын</w:t>
      </w:r>
      <w:proofErr w:type="spellEnd"/>
      <w:r>
        <w:t xml:space="preserve"> </w:t>
      </w:r>
      <w:proofErr w:type="spellStart"/>
      <w:r>
        <w:t>көрсете</w:t>
      </w:r>
      <w:proofErr w:type="spellEnd"/>
      <w:r>
        <w:t xml:space="preserve"> </w:t>
      </w:r>
      <w:proofErr w:type="spellStart"/>
      <w:r>
        <w:t>отырып</w:t>
      </w:r>
      <w:proofErr w:type="spellEnd"/>
      <w:r>
        <w:t xml:space="preserve">, </w:t>
      </w:r>
      <w:proofErr w:type="spellStart"/>
      <w:r>
        <w:t>білім</w:t>
      </w:r>
      <w:proofErr w:type="spellEnd"/>
      <w:r>
        <w:t xml:space="preserve"> </w:t>
      </w:r>
      <w:proofErr w:type="spellStart"/>
      <w:r>
        <w:t>берудегі</w:t>
      </w:r>
      <w:proofErr w:type="spellEnd"/>
      <w:r>
        <w:t xml:space="preserve"> </w:t>
      </w:r>
      <w:proofErr w:type="spellStart"/>
      <w:r>
        <w:t>теңсіздік</w:t>
      </w:r>
      <w:proofErr w:type="spellEnd"/>
      <w:r>
        <w:t xml:space="preserve"> </w:t>
      </w:r>
      <w:proofErr w:type="spellStart"/>
      <w:r>
        <w:t>туралы</w:t>
      </w:r>
      <w:proofErr w:type="spellEnd"/>
      <w:r>
        <w:t xml:space="preserve"> </w:t>
      </w:r>
      <w:proofErr w:type="spellStart"/>
      <w:r>
        <w:t>халықаралық</w:t>
      </w:r>
      <w:proofErr w:type="spellEnd"/>
      <w:r>
        <w:t xml:space="preserve"> </w:t>
      </w:r>
      <w:proofErr w:type="spellStart"/>
      <w:r>
        <w:t>ғылыми</w:t>
      </w:r>
      <w:proofErr w:type="spellEnd"/>
      <w:r>
        <w:t xml:space="preserve"> </w:t>
      </w:r>
      <w:proofErr w:type="spellStart"/>
      <w:r>
        <w:t>пікірталасқа</w:t>
      </w:r>
      <w:proofErr w:type="spellEnd"/>
      <w:r>
        <w:t xml:space="preserve"> </w:t>
      </w:r>
      <w:proofErr w:type="spellStart"/>
      <w:r>
        <w:t>үлес</w:t>
      </w:r>
      <w:proofErr w:type="spellEnd"/>
      <w:r>
        <w:t xml:space="preserve"> </w:t>
      </w:r>
      <w:proofErr w:type="spellStart"/>
      <w:r>
        <w:t>қосады</w:t>
      </w:r>
      <w:proofErr w:type="spellEnd"/>
      <w:r>
        <w:t xml:space="preserve">. </w:t>
      </w:r>
      <w:proofErr w:type="spellStart"/>
      <w:r>
        <w:t>Зерттеу</w:t>
      </w:r>
      <w:proofErr w:type="spellEnd"/>
      <w:r>
        <w:t xml:space="preserve"> </w:t>
      </w:r>
      <w:proofErr w:type="spellStart"/>
      <w:r>
        <w:t>нәтижелері</w:t>
      </w:r>
      <w:proofErr w:type="spellEnd"/>
      <w:r>
        <w:t xml:space="preserve"> </w:t>
      </w:r>
      <w:proofErr w:type="spellStart"/>
      <w:r>
        <w:t>таңдаулы</w:t>
      </w:r>
      <w:proofErr w:type="spellEnd"/>
      <w:r>
        <w:t xml:space="preserve"> </w:t>
      </w:r>
      <w:proofErr w:type="spellStart"/>
      <w:r>
        <w:t>жоғары</w:t>
      </w:r>
      <w:proofErr w:type="spellEnd"/>
      <w:r>
        <w:t xml:space="preserve"> </w:t>
      </w:r>
      <w:proofErr w:type="spellStart"/>
      <w:r>
        <w:t>оқу</w:t>
      </w:r>
      <w:proofErr w:type="spellEnd"/>
      <w:r>
        <w:t xml:space="preserve"> </w:t>
      </w:r>
      <w:proofErr w:type="spellStart"/>
      <w:r>
        <w:t>орындарына</w:t>
      </w:r>
      <w:proofErr w:type="spellEnd"/>
      <w:r>
        <w:t xml:space="preserve"> </w:t>
      </w:r>
      <w:proofErr w:type="spellStart"/>
      <w:r>
        <w:t>қолжетімділіктегі</w:t>
      </w:r>
      <w:proofErr w:type="spellEnd"/>
      <w:r>
        <w:t xml:space="preserve"> </w:t>
      </w:r>
      <w:proofErr w:type="spellStart"/>
      <w:r>
        <w:t>дайындық</w:t>
      </w:r>
      <w:proofErr w:type="spellEnd"/>
      <w:r>
        <w:t xml:space="preserve"> </w:t>
      </w:r>
      <w:proofErr w:type="spellStart"/>
      <w:r>
        <w:t>және</w:t>
      </w:r>
      <w:proofErr w:type="spellEnd"/>
      <w:r>
        <w:t xml:space="preserve"> </w:t>
      </w:r>
      <w:proofErr w:type="spellStart"/>
      <w:r>
        <w:t>ақпараттық</w:t>
      </w:r>
      <w:proofErr w:type="spellEnd"/>
      <w:r>
        <w:t xml:space="preserve"> </w:t>
      </w:r>
      <w:proofErr w:type="spellStart"/>
      <w:r>
        <w:t>теңсіздіктерді</w:t>
      </w:r>
      <w:proofErr w:type="spellEnd"/>
      <w:r>
        <w:t xml:space="preserve"> </w:t>
      </w:r>
      <w:proofErr w:type="spellStart"/>
      <w:r>
        <w:t>азайту</w:t>
      </w:r>
      <w:proofErr w:type="spellEnd"/>
      <w:r>
        <w:t xml:space="preserve"> </w:t>
      </w:r>
      <w:proofErr w:type="spellStart"/>
      <w:r>
        <w:t>үшін</w:t>
      </w:r>
      <w:proofErr w:type="spellEnd"/>
      <w:r>
        <w:t xml:space="preserve"> </w:t>
      </w:r>
      <w:proofErr w:type="spellStart"/>
      <w:r>
        <w:t>ерте</w:t>
      </w:r>
      <w:proofErr w:type="spellEnd"/>
      <w:r>
        <w:t xml:space="preserve"> </w:t>
      </w:r>
      <w:proofErr w:type="spellStart"/>
      <w:r>
        <w:t>кезеңнен</w:t>
      </w:r>
      <w:proofErr w:type="spellEnd"/>
      <w:r>
        <w:t xml:space="preserve"> </w:t>
      </w:r>
      <w:proofErr w:type="spellStart"/>
      <w:r>
        <w:t>басталатын</w:t>
      </w:r>
      <w:proofErr w:type="spellEnd"/>
      <w:r>
        <w:t xml:space="preserve"> </w:t>
      </w:r>
      <w:proofErr w:type="spellStart"/>
      <w:r>
        <w:t>әрі</w:t>
      </w:r>
      <w:proofErr w:type="spellEnd"/>
      <w:r>
        <w:t xml:space="preserve"> </w:t>
      </w:r>
      <w:proofErr w:type="spellStart"/>
      <w:r>
        <w:t>нысаналы</w:t>
      </w:r>
      <w:proofErr w:type="spellEnd"/>
      <w:r>
        <w:t xml:space="preserve"> </w:t>
      </w:r>
      <w:proofErr w:type="spellStart"/>
      <w:r>
        <w:t>мемлекеттік</w:t>
      </w:r>
      <w:proofErr w:type="spellEnd"/>
      <w:r>
        <w:t xml:space="preserve"> </w:t>
      </w:r>
      <w:proofErr w:type="spellStart"/>
      <w:r>
        <w:t>саясат</w:t>
      </w:r>
      <w:proofErr w:type="spellEnd"/>
      <w:r>
        <w:t xml:space="preserve"> </w:t>
      </w:r>
      <w:proofErr w:type="spellStart"/>
      <w:r>
        <w:t>шараларының</w:t>
      </w:r>
      <w:proofErr w:type="spellEnd"/>
      <w:r>
        <w:t xml:space="preserve"> </w:t>
      </w:r>
      <w:proofErr w:type="spellStart"/>
      <w:r>
        <w:t>қажеттілігін</w:t>
      </w:r>
      <w:proofErr w:type="spellEnd"/>
      <w:r>
        <w:t xml:space="preserve"> </w:t>
      </w:r>
      <w:proofErr w:type="spellStart"/>
      <w:r>
        <w:t>айқындайды</w:t>
      </w:r>
      <w:proofErr w:type="spellEnd"/>
      <w:r>
        <w:t>.</w:t>
      </w:r>
    </w:p>
    <w:p w14:paraId="3A943236" w14:textId="77777777" w:rsidR="00A84BB3" w:rsidRDefault="004D2E51" w:rsidP="00A84BB3">
      <w:pPr>
        <w:pStyle w:val="NormalWeb"/>
      </w:pPr>
      <w:proofErr w:type="spellStart"/>
      <w:r>
        <w:rPr>
          <w:rStyle w:val="Strong"/>
        </w:rPr>
        <w:t>Түйін</w:t>
      </w:r>
      <w:proofErr w:type="spellEnd"/>
      <w:r>
        <w:rPr>
          <w:rStyle w:val="Strong"/>
        </w:rPr>
        <w:t xml:space="preserve"> </w:t>
      </w:r>
      <w:proofErr w:type="spellStart"/>
      <w:r>
        <w:rPr>
          <w:rStyle w:val="Strong"/>
        </w:rPr>
        <w:t>сөздер</w:t>
      </w:r>
      <w:proofErr w:type="spellEnd"/>
      <w:r>
        <w:rPr>
          <w:rStyle w:val="Strong"/>
        </w:rPr>
        <w:t>:</w:t>
      </w:r>
      <w:r>
        <w:t xml:space="preserve"> </w:t>
      </w:r>
      <w:proofErr w:type="spellStart"/>
      <w:r>
        <w:t>білім</w:t>
      </w:r>
      <w:proofErr w:type="spellEnd"/>
      <w:r>
        <w:t xml:space="preserve"> </w:t>
      </w:r>
      <w:proofErr w:type="spellStart"/>
      <w:r>
        <w:t>берудегі</w:t>
      </w:r>
      <w:proofErr w:type="spellEnd"/>
      <w:r>
        <w:t xml:space="preserve"> </w:t>
      </w:r>
      <w:proofErr w:type="spellStart"/>
      <w:r>
        <w:t>теңсіздік</w:t>
      </w:r>
      <w:proofErr w:type="spellEnd"/>
      <w:r>
        <w:t xml:space="preserve">; </w:t>
      </w:r>
      <w:proofErr w:type="spellStart"/>
      <w:r>
        <w:t>жоғары</w:t>
      </w:r>
      <w:proofErr w:type="spellEnd"/>
      <w:r>
        <w:t xml:space="preserve"> </w:t>
      </w:r>
      <w:proofErr w:type="spellStart"/>
      <w:r>
        <w:t>білімге</w:t>
      </w:r>
      <w:proofErr w:type="spellEnd"/>
      <w:r>
        <w:t xml:space="preserve"> </w:t>
      </w:r>
      <w:proofErr w:type="spellStart"/>
      <w:r>
        <w:t>қолжетімділік</w:t>
      </w:r>
      <w:proofErr w:type="spellEnd"/>
      <w:r>
        <w:t xml:space="preserve">; </w:t>
      </w:r>
      <w:proofErr w:type="spellStart"/>
      <w:r>
        <w:t>элиталық</w:t>
      </w:r>
      <w:proofErr w:type="spellEnd"/>
      <w:r>
        <w:t xml:space="preserve"> </w:t>
      </w:r>
      <w:proofErr w:type="spellStart"/>
      <w:r>
        <w:t>жоғары</w:t>
      </w:r>
      <w:proofErr w:type="spellEnd"/>
      <w:r>
        <w:t xml:space="preserve"> </w:t>
      </w:r>
      <w:proofErr w:type="spellStart"/>
      <w:r>
        <w:t>білім</w:t>
      </w:r>
      <w:proofErr w:type="spellEnd"/>
      <w:r>
        <w:t xml:space="preserve">; </w:t>
      </w:r>
      <w:proofErr w:type="spellStart"/>
      <w:r>
        <w:t>Қазақстан</w:t>
      </w:r>
      <w:proofErr w:type="spellEnd"/>
      <w:r>
        <w:t xml:space="preserve">; </w:t>
      </w:r>
      <w:proofErr w:type="spellStart"/>
      <w:r>
        <w:t>Назарбаев</w:t>
      </w:r>
      <w:proofErr w:type="spellEnd"/>
      <w:r>
        <w:t xml:space="preserve"> </w:t>
      </w:r>
      <w:proofErr w:type="spellStart"/>
      <w:r>
        <w:t>Университеті</w:t>
      </w:r>
      <w:proofErr w:type="spellEnd"/>
      <w:r>
        <w:t>.</w:t>
      </w:r>
    </w:p>
    <w:p w14:paraId="26604A59" w14:textId="77777777" w:rsidR="00A84BB3" w:rsidRDefault="00A84BB3" w:rsidP="00A84BB3">
      <w:pPr>
        <w:pStyle w:val="NormalWeb"/>
        <w:rPr>
          <w:b/>
          <w:bCs/>
        </w:rPr>
      </w:pPr>
    </w:p>
    <w:p w14:paraId="433B03E0" w14:textId="73FC0532" w:rsidR="00A84BB3" w:rsidRPr="00A84BB3" w:rsidRDefault="0009791B" w:rsidP="00A84BB3">
      <w:pPr>
        <w:pStyle w:val="NormalWeb"/>
      </w:pPr>
      <w:r>
        <w:rPr>
          <w:b/>
          <w:bCs/>
        </w:rPr>
        <w:t>Introduction</w:t>
      </w:r>
    </w:p>
    <w:p w14:paraId="006CE723" w14:textId="77777777" w:rsidR="0009791B"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Ensuring equitable access to higher education, particularly to the most selective and prestigious “elite” institutions, remains a central challenge for education systems worldwide (</w:t>
      </w:r>
      <w:proofErr w:type="spellStart"/>
      <w:r>
        <w:rPr>
          <w:rFonts w:ascii="Times New Roman" w:eastAsia="Times New Roman" w:hAnsi="Times New Roman" w:cs="Times New Roman"/>
          <w:sz w:val="24"/>
          <w:szCs w:val="24"/>
          <w:highlight w:val="white"/>
        </w:rPr>
        <w:t>Triventi</w:t>
      </w:r>
      <w:proofErr w:type="spellEnd"/>
      <w:r>
        <w:rPr>
          <w:rFonts w:ascii="Times New Roman" w:eastAsia="Times New Roman" w:hAnsi="Times New Roman" w:cs="Times New Roman"/>
          <w:sz w:val="24"/>
          <w:szCs w:val="24"/>
          <w:highlight w:val="white"/>
        </w:rPr>
        <w:t>, 2013; Wang, 2023). Although governments increasingly emphasize equity in higher education participation (Jordan, 2010), higher education systems continue to grapple with the competing demands of quality, equity, and sustainability (</w:t>
      </w:r>
      <w:proofErr w:type="spellStart"/>
      <w:r>
        <w:rPr>
          <w:rFonts w:ascii="Times New Roman" w:eastAsia="Times New Roman" w:hAnsi="Times New Roman" w:cs="Times New Roman"/>
          <w:sz w:val="24"/>
          <w:szCs w:val="24"/>
          <w:highlight w:val="white"/>
        </w:rPr>
        <w:t>Nurshatayeva</w:t>
      </w:r>
      <w:proofErr w:type="spellEnd"/>
      <w:r>
        <w:rPr>
          <w:rFonts w:ascii="Times New Roman" w:eastAsia="Times New Roman" w:hAnsi="Times New Roman" w:cs="Times New Roman"/>
          <w:sz w:val="24"/>
          <w:szCs w:val="24"/>
          <w:highlight w:val="white"/>
        </w:rPr>
        <w:t xml:space="preserve"> &amp; Page, 2020; </w:t>
      </w:r>
      <w:proofErr w:type="spellStart"/>
      <w:r>
        <w:rPr>
          <w:rFonts w:ascii="Times New Roman" w:eastAsia="Times New Roman" w:hAnsi="Times New Roman" w:cs="Times New Roman"/>
          <w:sz w:val="24"/>
          <w:szCs w:val="24"/>
          <w:highlight w:val="white"/>
        </w:rPr>
        <w:t>Unterhalter</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Carpentier</w:t>
      </w:r>
      <w:proofErr w:type="spellEnd"/>
      <w:r>
        <w:rPr>
          <w:rFonts w:ascii="Times New Roman" w:eastAsia="Times New Roman" w:hAnsi="Times New Roman" w:cs="Times New Roman"/>
          <w:sz w:val="24"/>
          <w:szCs w:val="24"/>
          <w:highlight w:val="white"/>
        </w:rPr>
        <w:t>, 2010). Moreover, despite mass expansion of higher education, access to elite universities remains highly stratified, with students from more advantaged socioeconomic backgrounds disproportionately represented among those admitted and enrolled (</w:t>
      </w:r>
      <w:proofErr w:type="spellStart"/>
      <w:r>
        <w:rPr>
          <w:rFonts w:ascii="Times New Roman" w:eastAsia="Times New Roman" w:hAnsi="Times New Roman" w:cs="Times New Roman"/>
          <w:sz w:val="24"/>
          <w:szCs w:val="24"/>
          <w:highlight w:val="white"/>
        </w:rPr>
        <w:t>Boliver</w:t>
      </w:r>
      <w:proofErr w:type="spellEnd"/>
      <w:r>
        <w:rPr>
          <w:rFonts w:ascii="Times New Roman" w:eastAsia="Times New Roman" w:hAnsi="Times New Roman" w:cs="Times New Roman"/>
          <w:sz w:val="24"/>
          <w:szCs w:val="24"/>
          <w:highlight w:val="white"/>
        </w:rPr>
        <w:t xml:space="preserve">, 2013; </w:t>
      </w:r>
      <w:proofErr w:type="spellStart"/>
      <w:r>
        <w:rPr>
          <w:rFonts w:ascii="Times New Roman" w:eastAsia="Times New Roman" w:hAnsi="Times New Roman" w:cs="Times New Roman"/>
          <w:sz w:val="24"/>
          <w:szCs w:val="24"/>
          <w:highlight w:val="white"/>
        </w:rPr>
        <w:t>Raffe</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Croxford</w:t>
      </w:r>
      <w:proofErr w:type="spellEnd"/>
      <w:r>
        <w:rPr>
          <w:rFonts w:ascii="Times New Roman" w:eastAsia="Times New Roman" w:hAnsi="Times New Roman" w:cs="Times New Roman"/>
          <w:sz w:val="24"/>
          <w:szCs w:val="24"/>
          <w:highlight w:val="white"/>
        </w:rPr>
        <w:t xml:space="preserve">, 2015). These enduring disparities have fueled ongoing debates about the fairness and legitimacy of admissions processes at highly selective universities and, more broadly, about the extent to which higher education systems promote opportunity or reproduce existing social inequalities (Clancy &amp; </w:t>
      </w:r>
      <w:proofErr w:type="spellStart"/>
      <w:r>
        <w:rPr>
          <w:rFonts w:ascii="Times New Roman" w:eastAsia="Times New Roman" w:hAnsi="Times New Roman" w:cs="Times New Roman"/>
          <w:sz w:val="24"/>
          <w:szCs w:val="24"/>
          <w:highlight w:val="white"/>
        </w:rPr>
        <w:t>Goastellec</w:t>
      </w:r>
      <w:proofErr w:type="spellEnd"/>
      <w:r>
        <w:rPr>
          <w:rFonts w:ascii="Times New Roman" w:eastAsia="Times New Roman" w:hAnsi="Times New Roman" w:cs="Times New Roman"/>
          <w:sz w:val="24"/>
          <w:szCs w:val="24"/>
          <w:highlight w:val="white"/>
        </w:rPr>
        <w:t>, 2007; McCowan, 2016).</w:t>
      </w:r>
    </w:p>
    <w:p w14:paraId="2CC2D2CF" w14:textId="77777777" w:rsidR="0009791B" w:rsidRDefault="0009791B" w:rsidP="0009791B">
      <w:pPr>
        <w:spacing w:line="240" w:lineRule="auto"/>
        <w:rPr>
          <w:rFonts w:ascii="Times New Roman" w:eastAsia="Times New Roman" w:hAnsi="Times New Roman" w:cs="Times New Roman"/>
          <w:b/>
          <w:bCs/>
          <w:sz w:val="24"/>
          <w:szCs w:val="24"/>
        </w:rPr>
      </w:pPr>
    </w:p>
    <w:p w14:paraId="10C49C7A" w14:textId="77777777" w:rsidR="0009791B"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Meritocracy remains the dominant principle underpinning admissions to highly selective universities (</w:t>
      </w:r>
      <w:proofErr w:type="spellStart"/>
      <w:r>
        <w:rPr>
          <w:rFonts w:ascii="Times New Roman" w:eastAsia="Times New Roman" w:hAnsi="Times New Roman" w:cs="Times New Roman"/>
          <w:sz w:val="24"/>
          <w:szCs w:val="24"/>
          <w:highlight w:val="white"/>
        </w:rPr>
        <w:t>Boliver</w:t>
      </w:r>
      <w:proofErr w:type="spellEnd"/>
      <w:r>
        <w:rPr>
          <w:rFonts w:ascii="Times New Roman" w:eastAsia="Times New Roman" w:hAnsi="Times New Roman" w:cs="Times New Roman"/>
          <w:sz w:val="24"/>
          <w:szCs w:val="24"/>
          <w:highlight w:val="white"/>
        </w:rPr>
        <w:t xml:space="preserve"> &amp; Powell, 2023). Yet a substantial body of research suggests that prevailing definitions of merit often reflect unequal distributions of cultural, linguistic, and academic capital rather than neutral assessments of ability alone (</w:t>
      </w:r>
      <w:proofErr w:type="spellStart"/>
      <w:r>
        <w:rPr>
          <w:rFonts w:ascii="Times New Roman" w:eastAsia="Times New Roman" w:hAnsi="Times New Roman" w:cs="Times New Roman"/>
          <w:sz w:val="24"/>
          <w:szCs w:val="24"/>
          <w:highlight w:val="white"/>
        </w:rPr>
        <w:t>Boliver</w:t>
      </w:r>
      <w:proofErr w:type="spellEnd"/>
      <w:r>
        <w:rPr>
          <w:rFonts w:ascii="Times New Roman" w:eastAsia="Times New Roman" w:hAnsi="Times New Roman" w:cs="Times New Roman"/>
          <w:sz w:val="24"/>
          <w:szCs w:val="24"/>
          <w:highlight w:val="white"/>
        </w:rPr>
        <w:t xml:space="preserve"> et al., 2022; Bourdieu, 1986). Indeed, educational researchers have extensively documented that family socioeconomic resources can be translated into concrete admissions advantages through access to higher-quality schools, test preparation, educational guidance, and other forms of support (Alon, 2009; </w:t>
      </w:r>
      <w:proofErr w:type="spellStart"/>
      <w:r>
        <w:rPr>
          <w:rFonts w:ascii="Times New Roman" w:eastAsia="Times New Roman" w:hAnsi="Times New Roman" w:cs="Times New Roman"/>
          <w:sz w:val="24"/>
          <w:szCs w:val="24"/>
          <w:highlight w:val="white"/>
        </w:rPr>
        <w:t>Baikenov</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Shamatov</w:t>
      </w:r>
      <w:proofErr w:type="spellEnd"/>
      <w:r>
        <w:rPr>
          <w:rFonts w:ascii="Times New Roman" w:eastAsia="Times New Roman" w:hAnsi="Times New Roman" w:cs="Times New Roman"/>
          <w:sz w:val="24"/>
          <w:szCs w:val="24"/>
          <w:highlight w:val="white"/>
        </w:rPr>
        <w:t xml:space="preserve">, 2025; Farid et al., 2021). </w:t>
      </w:r>
    </w:p>
    <w:p w14:paraId="47806905" w14:textId="77777777" w:rsidR="0009791B" w:rsidRDefault="0009791B" w:rsidP="0009791B">
      <w:pPr>
        <w:spacing w:line="240" w:lineRule="auto"/>
        <w:rPr>
          <w:rFonts w:ascii="Times New Roman" w:eastAsia="Times New Roman" w:hAnsi="Times New Roman" w:cs="Times New Roman"/>
          <w:b/>
          <w:bCs/>
          <w:sz w:val="24"/>
          <w:szCs w:val="24"/>
        </w:rPr>
      </w:pPr>
    </w:p>
    <w:p w14:paraId="3B7907FE" w14:textId="77777777" w:rsidR="0009791B"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Kazakhstan provides a particularly informative setting in which to examine access to elite higher education. One of the country’s most ambitious educational initiatives since independence</w:t>
      </w:r>
      <w:r>
        <w:rPr>
          <w:rFonts w:ascii="Times New Roman" w:eastAsia="Times New Roman" w:hAnsi="Times New Roman" w:cs="Times New Roman"/>
          <w:sz w:val="24"/>
          <w:szCs w:val="24"/>
          <w:highlight w:val="white"/>
          <w:vertAlign w:val="superscript"/>
        </w:rPr>
        <w:footnoteReference w:id="1"/>
      </w:r>
      <w:r>
        <w:rPr>
          <w:rFonts w:ascii="Times New Roman" w:eastAsia="Times New Roman" w:hAnsi="Times New Roman" w:cs="Times New Roman"/>
          <w:sz w:val="24"/>
          <w:szCs w:val="24"/>
          <w:highlight w:val="white"/>
        </w:rPr>
        <w:t xml:space="preserve"> has been the creation of Nazarbayev University (NU), a research-intensive institution designed to become a globally competitive “world-class” university and to educate the nation’s most talented students (Ruby, 2017). NU receives a disproportionately large share of Kazakhstan’s public higher education funding (</w:t>
      </w:r>
      <w:proofErr w:type="spellStart"/>
      <w:r>
        <w:rPr>
          <w:rFonts w:ascii="Times New Roman" w:eastAsia="Times New Roman" w:hAnsi="Times New Roman" w:cs="Times New Roman"/>
          <w:sz w:val="24"/>
          <w:szCs w:val="24"/>
          <w:highlight w:val="white"/>
        </w:rPr>
        <w:t>Organisation</w:t>
      </w:r>
      <w:proofErr w:type="spellEnd"/>
      <w:r>
        <w:rPr>
          <w:rFonts w:ascii="Times New Roman" w:eastAsia="Times New Roman" w:hAnsi="Times New Roman" w:cs="Times New Roman"/>
          <w:sz w:val="24"/>
          <w:szCs w:val="24"/>
          <w:highlight w:val="white"/>
        </w:rPr>
        <w:t xml:space="preserve"> for Economic Co-operation and Development [OECD], 2017; </w:t>
      </w:r>
      <w:proofErr w:type="spellStart"/>
      <w:r>
        <w:rPr>
          <w:rFonts w:ascii="Times New Roman" w:eastAsia="Times New Roman" w:hAnsi="Times New Roman" w:cs="Times New Roman"/>
          <w:sz w:val="24"/>
          <w:szCs w:val="24"/>
          <w:highlight w:val="white"/>
        </w:rPr>
        <w:t>Varantola</w:t>
      </w:r>
      <w:proofErr w:type="spellEnd"/>
      <w:r>
        <w:rPr>
          <w:rFonts w:ascii="Times New Roman" w:eastAsia="Times New Roman" w:hAnsi="Times New Roman" w:cs="Times New Roman"/>
          <w:sz w:val="24"/>
          <w:szCs w:val="24"/>
          <w:highlight w:val="white"/>
        </w:rPr>
        <w:t xml:space="preserve"> et al., 2017), and more than 95% of admitted students receive publicly funded scholarships covering full tuition and fees along with a stipend for living expenses (NU, 2026). Access to NU therefore represents not only admission to the country’s most selective university but also access to a substantial public investment.</w:t>
      </w:r>
    </w:p>
    <w:p w14:paraId="4F5B5845" w14:textId="77777777" w:rsidR="0009791B" w:rsidRDefault="0009791B" w:rsidP="0009791B">
      <w:pPr>
        <w:spacing w:line="240" w:lineRule="auto"/>
        <w:rPr>
          <w:rFonts w:ascii="Times New Roman" w:eastAsia="Times New Roman" w:hAnsi="Times New Roman" w:cs="Times New Roman"/>
          <w:b/>
          <w:bCs/>
          <w:sz w:val="24"/>
          <w:szCs w:val="24"/>
        </w:rPr>
      </w:pPr>
    </w:p>
    <w:p w14:paraId="6FF19E2D" w14:textId="77777777" w:rsidR="0009791B"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 xml:space="preserve">At the same time, in recent decades, Kazakhstan has invested heavily in networks of highly selective public secondary schools, most notably Nazarbayev Intellectual Schools and </w:t>
      </w:r>
      <w:proofErr w:type="spellStart"/>
      <w:r>
        <w:rPr>
          <w:rFonts w:ascii="Times New Roman" w:eastAsia="Times New Roman" w:hAnsi="Times New Roman" w:cs="Times New Roman"/>
          <w:sz w:val="24"/>
          <w:szCs w:val="24"/>
          <w:highlight w:val="white"/>
        </w:rPr>
        <w:t>Bilim</w:t>
      </w:r>
      <w:proofErr w:type="spellEnd"/>
      <w:r>
        <w:rPr>
          <w:rFonts w:ascii="Times New Roman" w:eastAsia="Times New Roman" w:hAnsi="Times New Roman" w:cs="Times New Roman"/>
          <w:sz w:val="24"/>
          <w:szCs w:val="24"/>
          <w:highlight w:val="white"/>
        </w:rPr>
        <w:t>-Innovation Lyceums, that emphasize advanced STEM and English-language preparation (</w:t>
      </w:r>
      <w:proofErr w:type="spellStart"/>
      <w:r>
        <w:rPr>
          <w:rFonts w:ascii="Times New Roman" w:eastAsia="Times New Roman" w:hAnsi="Times New Roman" w:cs="Times New Roman"/>
          <w:sz w:val="24"/>
          <w:szCs w:val="24"/>
          <w:highlight w:val="white"/>
        </w:rPr>
        <w:t>Yakavets</w:t>
      </w:r>
      <w:proofErr w:type="spellEnd"/>
      <w:r>
        <w:rPr>
          <w:rFonts w:ascii="Times New Roman" w:eastAsia="Times New Roman" w:hAnsi="Times New Roman" w:cs="Times New Roman"/>
          <w:sz w:val="24"/>
          <w:szCs w:val="24"/>
          <w:highlight w:val="white"/>
        </w:rPr>
        <w:t>, 2014). These schools select students based on their internal admissions exams, utilize internationally oriented curricula and pedagogical practices, and provide opportunities for advanced coursework aligned with international standards such as Advanced Placement and International Baccalaureate. They place a particular emphasis on developing students’ English-language proficiency</w:t>
      </w:r>
      <w:r>
        <w:rPr>
          <w:rFonts w:ascii="Times New Roman" w:eastAsia="Times New Roman" w:hAnsi="Times New Roman" w:cs="Times New Roman"/>
          <w:sz w:val="24"/>
          <w:szCs w:val="24"/>
          <w:highlight w:val="white"/>
          <w:vertAlign w:val="superscript"/>
        </w:rPr>
        <w:footnoteReference w:id="2"/>
      </w:r>
      <w:r>
        <w:rPr>
          <w:rFonts w:ascii="Times New Roman" w:eastAsia="Times New Roman" w:hAnsi="Times New Roman" w:cs="Times New Roman"/>
          <w:sz w:val="24"/>
          <w:szCs w:val="24"/>
          <w:highlight w:val="white"/>
        </w:rPr>
        <w:t xml:space="preserve"> and encourage participation in international academic competitions.</w:t>
      </w:r>
      <w:r>
        <w:rPr>
          <w:rFonts w:ascii="Times New Roman" w:eastAsia="Times New Roman" w:hAnsi="Times New Roman" w:cs="Times New Roman"/>
          <w:sz w:val="24"/>
          <w:szCs w:val="24"/>
          <w:highlight w:val="white"/>
          <w:vertAlign w:val="superscript"/>
        </w:rPr>
        <w:footnoteReference w:id="3"/>
      </w:r>
      <w:r>
        <w:rPr>
          <w:rFonts w:ascii="Times New Roman" w:eastAsia="Times New Roman" w:hAnsi="Times New Roman" w:cs="Times New Roman"/>
          <w:sz w:val="24"/>
          <w:szCs w:val="24"/>
          <w:highlight w:val="white"/>
        </w:rPr>
        <w:t xml:space="preserve"> In other words, these schools cultivate forms of academic, linguistic, and cultural capital that closely align with the admissions requirements of NU and other highly selective universities (</w:t>
      </w:r>
      <w:proofErr w:type="spellStart"/>
      <w:r>
        <w:rPr>
          <w:rFonts w:ascii="Times New Roman" w:eastAsia="Times New Roman" w:hAnsi="Times New Roman" w:cs="Times New Roman"/>
          <w:sz w:val="24"/>
          <w:szCs w:val="24"/>
          <w:highlight w:val="white"/>
        </w:rPr>
        <w:t>Baikenov</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Shamatov</w:t>
      </w:r>
      <w:proofErr w:type="spellEnd"/>
      <w:r>
        <w:rPr>
          <w:rFonts w:ascii="Times New Roman" w:eastAsia="Times New Roman" w:hAnsi="Times New Roman" w:cs="Times New Roman"/>
          <w:sz w:val="24"/>
          <w:szCs w:val="24"/>
          <w:highlight w:val="white"/>
        </w:rPr>
        <w:t xml:space="preserve">, 2025; </w:t>
      </w:r>
      <w:proofErr w:type="spellStart"/>
      <w:r>
        <w:rPr>
          <w:rFonts w:ascii="Times New Roman" w:eastAsia="Times New Roman" w:hAnsi="Times New Roman" w:cs="Times New Roman"/>
          <w:sz w:val="24"/>
          <w:szCs w:val="24"/>
          <w:highlight w:val="white"/>
        </w:rPr>
        <w:t>Hwami</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Bedeker</w:t>
      </w:r>
      <w:proofErr w:type="spellEnd"/>
      <w:r>
        <w:rPr>
          <w:rFonts w:ascii="Times New Roman" w:eastAsia="Times New Roman" w:hAnsi="Times New Roman" w:cs="Times New Roman"/>
          <w:sz w:val="24"/>
          <w:szCs w:val="24"/>
          <w:highlight w:val="white"/>
        </w:rPr>
        <w:t xml:space="preserve">, 2024; </w:t>
      </w:r>
      <w:proofErr w:type="spellStart"/>
      <w:r>
        <w:rPr>
          <w:rFonts w:ascii="Times New Roman" w:eastAsia="Times New Roman" w:hAnsi="Times New Roman" w:cs="Times New Roman"/>
          <w:sz w:val="24"/>
          <w:szCs w:val="24"/>
          <w:highlight w:val="white"/>
        </w:rPr>
        <w:t>Kemelbayeva</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Kurmanov</w:t>
      </w:r>
      <w:proofErr w:type="spellEnd"/>
      <w:r>
        <w:rPr>
          <w:rFonts w:ascii="Times New Roman" w:eastAsia="Times New Roman" w:hAnsi="Times New Roman" w:cs="Times New Roman"/>
          <w:sz w:val="24"/>
          <w:szCs w:val="24"/>
          <w:highlight w:val="white"/>
        </w:rPr>
        <w:t>, 2024). Consequently, graduates of these institutions may enter the university admissions process with advantages not equally available to students attending mainstream schools.</w:t>
      </w:r>
    </w:p>
    <w:p w14:paraId="0841A286" w14:textId="77777777" w:rsidR="0009791B" w:rsidRDefault="0009791B" w:rsidP="0009791B">
      <w:pPr>
        <w:spacing w:line="240" w:lineRule="auto"/>
        <w:rPr>
          <w:rFonts w:ascii="Times New Roman" w:eastAsia="Times New Roman" w:hAnsi="Times New Roman" w:cs="Times New Roman"/>
          <w:b/>
          <w:bCs/>
          <w:sz w:val="24"/>
          <w:szCs w:val="24"/>
        </w:rPr>
      </w:pPr>
    </w:p>
    <w:p w14:paraId="628AF321" w14:textId="77777777" w:rsidR="0009791B"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Examining access to elite higher education in Kazakhstan—and to NU in particular—is important both conceptually and empirically. Although a large international literature has documented inequalities in access to elite higher education (</w:t>
      </w:r>
      <w:proofErr w:type="spellStart"/>
      <w:r>
        <w:rPr>
          <w:rFonts w:ascii="Times New Roman" w:eastAsia="Times New Roman" w:hAnsi="Times New Roman" w:cs="Times New Roman"/>
          <w:sz w:val="24"/>
          <w:szCs w:val="24"/>
          <w:highlight w:val="white"/>
        </w:rPr>
        <w:t>Boliver</w:t>
      </w:r>
      <w:proofErr w:type="spellEnd"/>
      <w:r>
        <w:rPr>
          <w:rFonts w:ascii="Times New Roman" w:eastAsia="Times New Roman" w:hAnsi="Times New Roman" w:cs="Times New Roman"/>
          <w:sz w:val="24"/>
          <w:szCs w:val="24"/>
          <w:highlight w:val="white"/>
        </w:rPr>
        <w:t xml:space="preserve">, 2013; </w:t>
      </w:r>
      <w:proofErr w:type="spellStart"/>
      <w:r>
        <w:rPr>
          <w:rFonts w:ascii="Times New Roman" w:eastAsia="Times New Roman" w:hAnsi="Times New Roman" w:cs="Times New Roman"/>
          <w:sz w:val="24"/>
          <w:szCs w:val="24"/>
          <w:highlight w:val="white"/>
        </w:rPr>
        <w:t>Chankseliani</w:t>
      </w:r>
      <w:proofErr w:type="spellEnd"/>
      <w:r>
        <w:rPr>
          <w:rFonts w:ascii="Times New Roman" w:eastAsia="Times New Roman" w:hAnsi="Times New Roman" w:cs="Times New Roman"/>
          <w:sz w:val="24"/>
          <w:szCs w:val="24"/>
          <w:highlight w:val="white"/>
        </w:rPr>
        <w:t xml:space="preserve"> et al., 2020; </w:t>
      </w:r>
      <w:proofErr w:type="spellStart"/>
      <w:r>
        <w:rPr>
          <w:rFonts w:ascii="Times New Roman" w:eastAsia="Times New Roman" w:hAnsi="Times New Roman" w:cs="Times New Roman"/>
          <w:sz w:val="24"/>
          <w:szCs w:val="24"/>
          <w:highlight w:val="white"/>
        </w:rPr>
        <w:t>Prakhov</w:t>
      </w:r>
      <w:proofErr w:type="spellEnd"/>
      <w:r>
        <w:rPr>
          <w:rFonts w:ascii="Times New Roman" w:eastAsia="Times New Roman" w:hAnsi="Times New Roman" w:cs="Times New Roman"/>
          <w:sz w:val="24"/>
          <w:szCs w:val="24"/>
          <w:highlight w:val="white"/>
        </w:rPr>
        <w:t>, 2016), comparable national-level analyses remain rare in Central Asia and the post-Soviet region. Existing studies have generally relied on limited or nonrepresentative samples and have not systematically linked student- and school-level characteristics to enrollment outcomes at elite universities. As a result, relatively little is known about how educational opportunities are distributed within these systems.</w:t>
      </w:r>
    </w:p>
    <w:p w14:paraId="5A0AF53C" w14:textId="77777777" w:rsidR="0009791B" w:rsidRDefault="0009791B" w:rsidP="0009791B">
      <w:pPr>
        <w:spacing w:line="240" w:lineRule="auto"/>
        <w:rPr>
          <w:rFonts w:ascii="Times New Roman" w:eastAsia="Times New Roman" w:hAnsi="Times New Roman" w:cs="Times New Roman"/>
          <w:b/>
          <w:bCs/>
          <w:sz w:val="24"/>
          <w:szCs w:val="24"/>
        </w:rPr>
      </w:pPr>
    </w:p>
    <w:p w14:paraId="498FA5C2" w14:textId="77777777" w:rsidR="0009791B"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 xml:space="preserve">The question is also highly relevant for policy. Given the substantial public funding devoted to NU, understanding who gains access is critical for evaluating whether public investments promote educational opportunity broadly or concentrate it among students who have already </w:t>
      </w:r>
      <w:r>
        <w:rPr>
          <w:rFonts w:ascii="Times New Roman" w:eastAsia="Times New Roman" w:hAnsi="Times New Roman" w:cs="Times New Roman"/>
          <w:sz w:val="24"/>
          <w:szCs w:val="24"/>
          <w:highlight w:val="white"/>
        </w:rPr>
        <w:lastRenderedPageBreak/>
        <w:t>benefited from selective educational pathways. Documenting patterns of access is therefore a necessary first step toward assessing whether equity-focused policy interventions are needed.</w:t>
      </w:r>
    </w:p>
    <w:p w14:paraId="1CEF52D9" w14:textId="77777777" w:rsidR="0009791B" w:rsidRDefault="0009791B" w:rsidP="0009791B">
      <w:pPr>
        <w:spacing w:line="240" w:lineRule="auto"/>
        <w:rPr>
          <w:rFonts w:ascii="Times New Roman" w:eastAsia="Times New Roman" w:hAnsi="Times New Roman" w:cs="Times New Roman"/>
          <w:b/>
          <w:bCs/>
          <w:sz w:val="24"/>
          <w:szCs w:val="24"/>
        </w:rPr>
      </w:pPr>
    </w:p>
    <w:p w14:paraId="7413C5ED" w14:textId="77777777" w:rsidR="0009791B"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To contribute to the literature on access to elite higher education in the region and to inform policy decisions, we use national administrative data on the universe of secondary school graduates in Kazakhstan between 2021 and 2023 (</w:t>
      </w:r>
      <w:r>
        <w:rPr>
          <w:rFonts w:ascii="Times New Roman" w:eastAsia="Times New Roman" w:hAnsi="Times New Roman" w:cs="Times New Roman"/>
          <w:i/>
          <w:iCs/>
          <w:sz w:val="24"/>
          <w:szCs w:val="24"/>
          <w:highlight w:val="white"/>
        </w:rPr>
        <w:t>N</w:t>
      </w:r>
      <w:r>
        <w:rPr>
          <w:rFonts w:ascii="Times New Roman" w:eastAsia="Times New Roman" w:hAnsi="Times New Roman" w:cs="Times New Roman"/>
          <w:sz w:val="24"/>
          <w:szCs w:val="24"/>
          <w:highlight w:val="white"/>
        </w:rPr>
        <w:t xml:space="preserve"> = 499,150) and examine the following research question: </w:t>
      </w:r>
      <w:r>
        <w:rPr>
          <w:rFonts w:ascii="Times New Roman" w:eastAsia="Times New Roman" w:hAnsi="Times New Roman" w:cs="Times New Roman"/>
          <w:i/>
          <w:iCs/>
          <w:sz w:val="24"/>
          <w:szCs w:val="24"/>
          <w:highlight w:val="white"/>
        </w:rPr>
        <w:t>What individual- and school-level characteristics predict enrollment at Nazarbayev University?</w:t>
      </w:r>
      <w:r>
        <w:rPr>
          <w:rFonts w:ascii="Times New Roman" w:eastAsia="Times New Roman" w:hAnsi="Times New Roman" w:cs="Times New Roman"/>
          <w:sz w:val="24"/>
          <w:szCs w:val="24"/>
          <w:highlight w:val="white"/>
        </w:rPr>
        <w:t xml:space="preserve"> We focus </w:t>
      </w:r>
      <w:proofErr w:type="gramStart"/>
      <w:r>
        <w:rPr>
          <w:rFonts w:ascii="Times New Roman" w:eastAsia="Times New Roman" w:hAnsi="Times New Roman" w:cs="Times New Roman"/>
          <w:sz w:val="24"/>
          <w:szCs w:val="24"/>
          <w:highlight w:val="white"/>
        </w:rPr>
        <w:t>in particular on</w:t>
      </w:r>
      <w:proofErr w:type="gramEnd"/>
      <w:r>
        <w:rPr>
          <w:rFonts w:ascii="Times New Roman" w:eastAsia="Times New Roman" w:hAnsi="Times New Roman" w:cs="Times New Roman"/>
          <w:sz w:val="24"/>
          <w:szCs w:val="24"/>
          <w:highlight w:val="white"/>
        </w:rPr>
        <w:t xml:space="preserve"> the role of sociodemographic characteristics, family socioeconomic background, academic achievement, secondary school type, and school-level characteristics.</w:t>
      </w:r>
    </w:p>
    <w:p w14:paraId="65C2C2AB" w14:textId="77777777" w:rsidR="0009791B" w:rsidRDefault="0009791B" w:rsidP="0009791B">
      <w:pPr>
        <w:spacing w:line="240" w:lineRule="auto"/>
        <w:rPr>
          <w:rFonts w:ascii="Times New Roman" w:eastAsia="Times New Roman" w:hAnsi="Times New Roman" w:cs="Times New Roman"/>
          <w:b/>
          <w:bCs/>
          <w:sz w:val="24"/>
          <w:szCs w:val="24"/>
        </w:rPr>
      </w:pPr>
    </w:p>
    <w:p w14:paraId="73AA4ADD" w14:textId="77777777" w:rsidR="0009791B"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 xml:space="preserve">Previewing the results, we find that the most salient factor predicting access to NU is being a graduate of a selective public secondary school such as Nazarbayev Intellectual Schools or </w:t>
      </w:r>
      <w:proofErr w:type="spellStart"/>
      <w:r>
        <w:rPr>
          <w:rFonts w:ascii="Times New Roman" w:eastAsia="Times New Roman" w:hAnsi="Times New Roman" w:cs="Times New Roman"/>
          <w:sz w:val="24"/>
          <w:szCs w:val="24"/>
          <w:highlight w:val="white"/>
        </w:rPr>
        <w:t>Bilim</w:t>
      </w:r>
      <w:proofErr w:type="spellEnd"/>
      <w:r>
        <w:rPr>
          <w:rFonts w:ascii="Times New Roman" w:eastAsia="Times New Roman" w:hAnsi="Times New Roman" w:cs="Times New Roman"/>
          <w:sz w:val="24"/>
          <w:szCs w:val="24"/>
          <w:highlight w:val="white"/>
        </w:rPr>
        <w:t xml:space="preserve">-Innovation Lyceums. Other individual characteristics and even school-level factors are either not significantly associated with NU enrollment or demonstrate relationships with it that are small in magnitude and therefore have small practical significance. </w:t>
      </w:r>
    </w:p>
    <w:p w14:paraId="0F6BD29C" w14:textId="77777777" w:rsidR="0009791B" w:rsidRDefault="0009791B" w:rsidP="0009791B">
      <w:pPr>
        <w:spacing w:line="240" w:lineRule="auto"/>
        <w:rPr>
          <w:rFonts w:ascii="Times New Roman" w:eastAsia="Times New Roman" w:hAnsi="Times New Roman" w:cs="Times New Roman"/>
          <w:b/>
          <w:bCs/>
          <w:sz w:val="24"/>
          <w:szCs w:val="24"/>
        </w:rPr>
      </w:pPr>
    </w:p>
    <w:p w14:paraId="05907951" w14:textId="77777777" w:rsidR="0009791B" w:rsidRDefault="00000000" w:rsidP="0009791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highlight w:val="white"/>
        </w:rPr>
        <w:t xml:space="preserve">These findings raise both empirical and normative concerns as they suggest that the considerable public investment Kazakhstan continues to make in its highly selective secondary and postsecondary education institutions may contribute to heightened educational stratification and inequality. The results underscore the need for targeted policy interventions to promote more equitable access to NU, ensuring that academically talented students attending regular urban and rural schools are not systematically disadvantaged in their pursuit of world-class higher education opportunities. More broadly, these patterns prompt important questions about the long-term consequences of unequal access to elite educational pathways for social mobility and societal well-being. </w:t>
      </w:r>
    </w:p>
    <w:p w14:paraId="7F8A9836" w14:textId="128ABFEB" w:rsidR="004C7857" w:rsidRDefault="00000000" w:rsidP="0009791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remainder of the paper proceeds as follows: We first present the theoretical framework and review the relevant literature. We then describe the Kazakhstani educational context, data, and methods, followed by the results. In the final sections, we reflect on the findings and offer some concluding thoughts.</w:t>
      </w:r>
    </w:p>
    <w:p w14:paraId="6FF14348" w14:textId="77777777" w:rsidR="0009791B" w:rsidRPr="0009791B" w:rsidRDefault="0009791B" w:rsidP="0009791B">
      <w:pPr>
        <w:spacing w:line="240" w:lineRule="auto"/>
        <w:rPr>
          <w:rFonts w:ascii="Times New Roman" w:eastAsia="Times New Roman" w:hAnsi="Times New Roman" w:cs="Times New Roman"/>
          <w:b/>
          <w:bCs/>
          <w:sz w:val="24"/>
          <w:szCs w:val="24"/>
        </w:rPr>
      </w:pPr>
    </w:p>
    <w:p w14:paraId="5A63D94B" w14:textId="77777777" w:rsidR="0009791B" w:rsidRDefault="00000000" w:rsidP="0009791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Theoretical Framework </w:t>
      </w:r>
    </w:p>
    <w:p w14:paraId="1E058BF5" w14:textId="77777777" w:rsidR="0009791B" w:rsidRDefault="0009791B" w:rsidP="0009791B">
      <w:pPr>
        <w:spacing w:line="240" w:lineRule="auto"/>
        <w:rPr>
          <w:rFonts w:ascii="Times New Roman" w:eastAsia="Times New Roman" w:hAnsi="Times New Roman" w:cs="Times New Roman"/>
          <w:b/>
          <w:bCs/>
          <w:sz w:val="24"/>
          <w:szCs w:val="24"/>
          <w:highlight w:val="white"/>
        </w:rPr>
      </w:pPr>
    </w:p>
    <w:p w14:paraId="2C6E13C6" w14:textId="77777777" w:rsidR="0009791B" w:rsidRDefault="00000000" w:rsidP="0009791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This study is grounded in Bourdieu’s theory of social reproduction, particularly his work on cultural and social capital and the role of educational institutions in the conversion and certification of these resources (Bourdieu, 1977, 1986). From this perspective, educational systems are not neutral mechanisms of talent identification but structured fields in which advantage is accumulated, transformed, and legitimized through institutional processes.</w:t>
      </w:r>
    </w:p>
    <w:p w14:paraId="1B1C86C5" w14:textId="77777777" w:rsidR="0009791B" w:rsidRDefault="0009791B" w:rsidP="0009791B">
      <w:pPr>
        <w:spacing w:line="240" w:lineRule="auto"/>
        <w:rPr>
          <w:rFonts w:ascii="Times New Roman" w:eastAsia="Times New Roman" w:hAnsi="Times New Roman" w:cs="Times New Roman"/>
          <w:b/>
          <w:bCs/>
          <w:sz w:val="24"/>
          <w:szCs w:val="24"/>
          <w:highlight w:val="white"/>
        </w:rPr>
      </w:pPr>
    </w:p>
    <w:p w14:paraId="75FA55CF" w14:textId="77777777" w:rsidR="0009791B" w:rsidRDefault="00000000" w:rsidP="0009791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At the individual level, students enter the educational system with unequal economic, cultural, and social resources. Characteristics such as socioeconomic background, gender, language, and place of residence reflect the types of social and cultural capital available to students and their families. The differences in resources can influence educational trajectories by affecting access to academic opportunities, information about selective pathways, and the dispositions and competencies that are rewarded within educational institutions. Consequently, individual characteristics may be associated with the likelihood of gaining admission to highly selective institutions such as NU.</w:t>
      </w:r>
    </w:p>
    <w:p w14:paraId="5EAA603C" w14:textId="77777777" w:rsidR="0009791B" w:rsidRDefault="0009791B" w:rsidP="0009791B">
      <w:pPr>
        <w:spacing w:line="240" w:lineRule="auto"/>
        <w:rPr>
          <w:rFonts w:ascii="Times New Roman" w:eastAsia="Times New Roman" w:hAnsi="Times New Roman" w:cs="Times New Roman"/>
          <w:b/>
          <w:bCs/>
          <w:sz w:val="24"/>
          <w:szCs w:val="24"/>
          <w:highlight w:val="white"/>
        </w:rPr>
      </w:pPr>
    </w:p>
    <w:p w14:paraId="7B5B1D48" w14:textId="77777777" w:rsidR="0009791B" w:rsidRDefault="00000000" w:rsidP="0009791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At the same time, Bourdieu emphasizes that educational institutions play a central role in reproducing and legitimizing social inequalities. Schools do not merely reflect pre-existing </w:t>
      </w:r>
      <w:r>
        <w:rPr>
          <w:rFonts w:ascii="Times New Roman" w:eastAsia="Times New Roman" w:hAnsi="Times New Roman" w:cs="Times New Roman"/>
          <w:sz w:val="24"/>
          <w:szCs w:val="24"/>
          <w:highlight w:val="white"/>
        </w:rPr>
        <w:lastRenderedPageBreak/>
        <w:t xml:space="preserve">differences among students; they actively shape the acquisition, development, and recognition of valued forms of capital. Beyond the transmission of academic knowledge, schools provide varying levels of access to rigorous curricula, preparation for high-stakes assessments, institutional guidance, and information about educational opportunities. As a result, schools can influence which students are positioned to compete successfully for admission to selective universities. </w:t>
      </w:r>
    </w:p>
    <w:p w14:paraId="397D66E6" w14:textId="77777777" w:rsidR="0009791B" w:rsidRDefault="0009791B" w:rsidP="0009791B">
      <w:pPr>
        <w:spacing w:line="240" w:lineRule="auto"/>
        <w:rPr>
          <w:rFonts w:ascii="Times New Roman" w:eastAsia="Times New Roman" w:hAnsi="Times New Roman" w:cs="Times New Roman"/>
          <w:b/>
          <w:bCs/>
          <w:sz w:val="24"/>
          <w:szCs w:val="24"/>
          <w:highlight w:val="white"/>
        </w:rPr>
      </w:pPr>
    </w:p>
    <w:p w14:paraId="35E7003D" w14:textId="1AE1531C" w:rsidR="004C7857" w:rsidRDefault="00000000" w:rsidP="0009791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Notably, this framework does not presuppose the relative importance of individual versus institutional factors, but instead motivates their joint empirical examination. Accordingly, our analyses examine the extent to which NU enrollment is associated with both individual student characteristics and the secondary school contexts through which educational opportunities are structured. </w:t>
      </w:r>
    </w:p>
    <w:p w14:paraId="513E0C92" w14:textId="77777777" w:rsidR="0009791B" w:rsidRPr="0009791B" w:rsidRDefault="0009791B" w:rsidP="0009791B">
      <w:pPr>
        <w:spacing w:line="240" w:lineRule="auto"/>
        <w:rPr>
          <w:rFonts w:ascii="Times New Roman" w:eastAsia="Times New Roman" w:hAnsi="Times New Roman" w:cs="Times New Roman"/>
          <w:b/>
          <w:bCs/>
          <w:sz w:val="24"/>
          <w:szCs w:val="24"/>
          <w:highlight w:val="white"/>
        </w:rPr>
      </w:pPr>
    </w:p>
    <w:p w14:paraId="7A00FF32" w14:textId="77777777" w:rsidR="004C7857" w:rsidRDefault="00000000" w:rsidP="0009791B">
      <w:pPr>
        <w:keepNext/>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Literature Review</w:t>
      </w:r>
    </w:p>
    <w:p w14:paraId="2E769F52" w14:textId="77777777" w:rsidR="0009791B" w:rsidRDefault="0009791B">
      <w:pPr>
        <w:spacing w:line="240" w:lineRule="auto"/>
        <w:ind w:firstLine="720"/>
        <w:rPr>
          <w:rFonts w:ascii="Times New Roman" w:eastAsia="Times New Roman" w:hAnsi="Times New Roman" w:cs="Times New Roman"/>
          <w:sz w:val="24"/>
          <w:szCs w:val="24"/>
          <w:highlight w:val="white"/>
        </w:rPr>
      </w:pPr>
    </w:p>
    <w:p w14:paraId="1B854FC8" w14:textId="77777777" w:rsidR="0009791B" w:rsidRDefault="00000000" w:rsidP="0009791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substantial body of research shows that access to elite and highly selective universities is shaped by cumulative advantages associated with family background, schooling environments, and geography (</w:t>
      </w:r>
      <w:proofErr w:type="spellStart"/>
      <w:r>
        <w:rPr>
          <w:rFonts w:ascii="Times New Roman" w:eastAsia="Times New Roman" w:hAnsi="Times New Roman" w:cs="Times New Roman"/>
          <w:sz w:val="24"/>
          <w:szCs w:val="24"/>
          <w:highlight w:val="white"/>
        </w:rPr>
        <w:t>Boliver</w:t>
      </w:r>
      <w:proofErr w:type="spellEnd"/>
      <w:r>
        <w:rPr>
          <w:rFonts w:ascii="Times New Roman" w:eastAsia="Times New Roman" w:hAnsi="Times New Roman" w:cs="Times New Roman"/>
          <w:sz w:val="24"/>
          <w:szCs w:val="24"/>
          <w:highlight w:val="white"/>
        </w:rPr>
        <w:t xml:space="preserve">, 2013; </w:t>
      </w:r>
      <w:proofErr w:type="spellStart"/>
      <w:r>
        <w:rPr>
          <w:rFonts w:ascii="Times New Roman" w:eastAsia="Times New Roman" w:hAnsi="Times New Roman" w:cs="Times New Roman"/>
          <w:sz w:val="24"/>
          <w:szCs w:val="24"/>
          <w:highlight w:val="white"/>
        </w:rPr>
        <w:t>Chankseliani</w:t>
      </w:r>
      <w:proofErr w:type="spellEnd"/>
      <w:r>
        <w:rPr>
          <w:rFonts w:ascii="Times New Roman" w:eastAsia="Times New Roman" w:hAnsi="Times New Roman" w:cs="Times New Roman"/>
          <w:sz w:val="24"/>
          <w:szCs w:val="24"/>
          <w:highlight w:val="white"/>
        </w:rPr>
        <w:t xml:space="preserve"> et al., 2020; </w:t>
      </w:r>
      <w:proofErr w:type="spellStart"/>
      <w:r>
        <w:rPr>
          <w:rFonts w:ascii="Times New Roman" w:eastAsia="Times New Roman" w:hAnsi="Times New Roman" w:cs="Times New Roman"/>
          <w:sz w:val="24"/>
          <w:szCs w:val="24"/>
          <w:highlight w:val="white"/>
        </w:rPr>
        <w:t>Prakhov</w:t>
      </w:r>
      <w:proofErr w:type="spellEnd"/>
      <w:r>
        <w:rPr>
          <w:rFonts w:ascii="Times New Roman" w:eastAsia="Times New Roman" w:hAnsi="Times New Roman" w:cs="Times New Roman"/>
          <w:sz w:val="24"/>
          <w:szCs w:val="24"/>
          <w:highlight w:val="white"/>
        </w:rPr>
        <w:t>, 2016). Indeed, evidence from a wide range of countries demonstrates the persistent underrepresentation of students from less advantaged backgrounds in prestigious universities, including the Russell Group universities in the United Kingdom (</w:t>
      </w:r>
      <w:proofErr w:type="spellStart"/>
      <w:r>
        <w:rPr>
          <w:rFonts w:ascii="Times New Roman" w:eastAsia="Times New Roman" w:hAnsi="Times New Roman" w:cs="Times New Roman"/>
          <w:sz w:val="24"/>
          <w:szCs w:val="24"/>
          <w:highlight w:val="white"/>
        </w:rPr>
        <w:t>Boliver</w:t>
      </w:r>
      <w:proofErr w:type="spellEnd"/>
      <w:r>
        <w:rPr>
          <w:rFonts w:ascii="Times New Roman" w:eastAsia="Times New Roman" w:hAnsi="Times New Roman" w:cs="Times New Roman"/>
          <w:sz w:val="24"/>
          <w:szCs w:val="24"/>
          <w:highlight w:val="white"/>
        </w:rPr>
        <w:t xml:space="preserve">, 2013; Woodward, 2020), selective four-year colleges in the United States (Hill &amp; Winston, 2010; Reardon et al., 2012; Shamash, 2018), the French </w:t>
      </w:r>
      <w:proofErr w:type="spellStart"/>
      <w:r>
        <w:rPr>
          <w:rFonts w:ascii="Times New Roman" w:eastAsia="Times New Roman" w:hAnsi="Times New Roman" w:cs="Times New Roman"/>
          <w:i/>
          <w:iCs/>
          <w:sz w:val="24"/>
          <w:szCs w:val="24"/>
          <w:highlight w:val="white"/>
        </w:rPr>
        <w:t>grandes</w:t>
      </w:r>
      <w:proofErr w:type="spellEnd"/>
      <w:r>
        <w:rPr>
          <w:rFonts w:ascii="Times New Roman" w:eastAsia="Times New Roman" w:hAnsi="Times New Roman" w:cs="Times New Roman"/>
          <w:i/>
          <w:iCs/>
          <w:sz w:val="24"/>
          <w:szCs w:val="24"/>
          <w:highlight w:val="white"/>
        </w:rPr>
        <w:t xml:space="preserve"> écoles</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Herbaut</w:t>
      </w:r>
      <w:proofErr w:type="spellEnd"/>
      <w:r>
        <w:rPr>
          <w:rFonts w:ascii="Times New Roman" w:eastAsia="Times New Roman" w:hAnsi="Times New Roman" w:cs="Times New Roman"/>
          <w:sz w:val="24"/>
          <w:szCs w:val="24"/>
          <w:highlight w:val="white"/>
        </w:rPr>
        <w:t>, 2022), elite universities in China (Wen et al., 2023), and highly selective postsecondary institutions in Australia (</w:t>
      </w:r>
      <w:proofErr w:type="spellStart"/>
      <w:r>
        <w:rPr>
          <w:rFonts w:ascii="Times New Roman" w:eastAsia="Times New Roman" w:hAnsi="Times New Roman" w:cs="Times New Roman"/>
          <w:sz w:val="24"/>
          <w:szCs w:val="24"/>
          <w:highlight w:val="white"/>
        </w:rPr>
        <w:t>Jerrim</w:t>
      </w:r>
      <w:proofErr w:type="spellEnd"/>
      <w:r>
        <w:rPr>
          <w:rFonts w:ascii="Times New Roman" w:eastAsia="Times New Roman" w:hAnsi="Times New Roman" w:cs="Times New Roman"/>
          <w:sz w:val="24"/>
          <w:szCs w:val="24"/>
          <w:highlight w:val="white"/>
        </w:rPr>
        <w:t xml:space="preserve"> et al., 2015). These patterns suggest that formally merit-based admissions systems often operate within broader structures of educational inequality.</w:t>
      </w:r>
    </w:p>
    <w:p w14:paraId="47DEC41A" w14:textId="77777777" w:rsidR="0009791B" w:rsidRDefault="0009791B" w:rsidP="0009791B">
      <w:pPr>
        <w:spacing w:line="240" w:lineRule="auto"/>
        <w:rPr>
          <w:rFonts w:ascii="Times New Roman" w:eastAsia="Times New Roman" w:hAnsi="Times New Roman" w:cs="Times New Roman"/>
          <w:sz w:val="24"/>
          <w:szCs w:val="24"/>
          <w:highlight w:val="white"/>
        </w:rPr>
      </w:pPr>
    </w:p>
    <w:p w14:paraId="1A74B3EB" w14:textId="77777777" w:rsidR="0009791B" w:rsidRDefault="00000000" w:rsidP="0009791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Evidence on the relationship between attending a selective or academically oriented secondary school and enrollment in elite universities is inconclusive. While correlational studies show that attending a more selective secondary school is associated with improved chances of getting into elite universities in the United Kingdom (Mansfield, 2019), China (Lee &amp; Wright, 2016), and Russia (</w:t>
      </w:r>
      <w:proofErr w:type="spellStart"/>
      <w:r>
        <w:rPr>
          <w:rFonts w:ascii="Times New Roman" w:eastAsia="Times New Roman" w:hAnsi="Times New Roman" w:cs="Times New Roman"/>
          <w:sz w:val="24"/>
          <w:szCs w:val="24"/>
          <w:highlight w:val="white"/>
        </w:rPr>
        <w:t>Prakhov</w:t>
      </w:r>
      <w:proofErr w:type="spellEnd"/>
      <w:r>
        <w:rPr>
          <w:rFonts w:ascii="Times New Roman" w:eastAsia="Times New Roman" w:hAnsi="Times New Roman" w:cs="Times New Roman"/>
          <w:sz w:val="24"/>
          <w:szCs w:val="24"/>
          <w:highlight w:val="white"/>
        </w:rPr>
        <w:t xml:space="preserve">, 2016), in many of the extant correlational studies, findings are sensitive to model specification. Indeed, once prior academic achievement and student background characteristics are </w:t>
      </w:r>
      <w:proofErr w:type="gramStart"/>
      <w:r>
        <w:rPr>
          <w:rFonts w:ascii="Times New Roman" w:eastAsia="Times New Roman" w:hAnsi="Times New Roman" w:cs="Times New Roman"/>
          <w:sz w:val="24"/>
          <w:szCs w:val="24"/>
          <w:highlight w:val="white"/>
        </w:rPr>
        <w:t>taken into account</w:t>
      </w:r>
      <w:proofErr w:type="gramEnd"/>
      <w:r>
        <w:rPr>
          <w:rFonts w:ascii="Times New Roman" w:eastAsia="Times New Roman" w:hAnsi="Times New Roman" w:cs="Times New Roman"/>
          <w:sz w:val="24"/>
          <w:szCs w:val="24"/>
          <w:highlight w:val="white"/>
        </w:rPr>
        <w:t xml:space="preserve">, estimated advantages associated with selective schools are often substantially reduced (Lu, 2021; Lu &amp; Siddiqui, 2024). </w:t>
      </w:r>
    </w:p>
    <w:p w14:paraId="166BBD3A" w14:textId="77777777" w:rsidR="0009791B" w:rsidRDefault="0009791B" w:rsidP="0009791B">
      <w:pPr>
        <w:spacing w:line="240" w:lineRule="auto"/>
        <w:rPr>
          <w:rFonts w:ascii="Times New Roman" w:eastAsia="Times New Roman" w:hAnsi="Times New Roman" w:cs="Times New Roman"/>
          <w:sz w:val="24"/>
          <w:szCs w:val="24"/>
          <w:highlight w:val="white"/>
        </w:rPr>
      </w:pPr>
    </w:p>
    <w:p w14:paraId="3F071515" w14:textId="77777777" w:rsidR="0009791B" w:rsidRDefault="00000000" w:rsidP="0009791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Furthermore, studies employing rigorous causal designs suggest that attending a highly selective secondary school has no effect on postsecondary outcomes. For example, using a regression discontinuity design, </w:t>
      </w:r>
      <w:proofErr w:type="gramStart"/>
      <w:r>
        <w:rPr>
          <w:rFonts w:ascii="Times New Roman" w:eastAsia="Times New Roman" w:hAnsi="Times New Roman" w:cs="Times New Roman"/>
          <w:sz w:val="24"/>
          <w:szCs w:val="24"/>
          <w:highlight w:val="white"/>
        </w:rPr>
        <w:t>Dobbie</w:t>
      </w:r>
      <w:proofErr w:type="gramEnd"/>
      <w:r>
        <w:rPr>
          <w:rFonts w:ascii="Times New Roman" w:eastAsia="Times New Roman" w:hAnsi="Times New Roman" w:cs="Times New Roman"/>
          <w:sz w:val="24"/>
          <w:szCs w:val="24"/>
          <w:highlight w:val="white"/>
        </w:rPr>
        <w:t xml:space="preserve"> and Fryer (2011) find that attendance at highly selective exam schools in New York City has no effect on postsecondary enrollment or degree completion. Using a similar set-up of a regression discontinuity design, Clark (2010) finds only suggestive and imprecisely estimated effects of attending grammar schools on university enrollment in England. Together, these findings suggest that selective schools may function less as generators of advantage than as institutions that concentrate students who have already accumulated educational advantages.</w:t>
      </w:r>
    </w:p>
    <w:p w14:paraId="2FDC2428" w14:textId="77777777" w:rsidR="0009791B" w:rsidRDefault="0009791B" w:rsidP="0009791B">
      <w:pPr>
        <w:spacing w:line="240" w:lineRule="auto"/>
        <w:rPr>
          <w:rFonts w:ascii="Times New Roman" w:eastAsia="Times New Roman" w:hAnsi="Times New Roman" w:cs="Times New Roman"/>
          <w:sz w:val="24"/>
          <w:szCs w:val="24"/>
          <w:highlight w:val="white"/>
        </w:rPr>
      </w:pPr>
    </w:p>
    <w:p w14:paraId="50F2B05B" w14:textId="77777777" w:rsidR="0009791B" w:rsidRDefault="00000000" w:rsidP="0009791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Nevertheless, a consistent empirical finding across contexts is the disproportionate underrepresentation of socioeconomically disadvantaged students in elite higher education institutions (Shamash, 2018). Whether this pattern reflects school effects, individual </w:t>
      </w:r>
      <w:r>
        <w:rPr>
          <w:rFonts w:ascii="Times New Roman" w:eastAsia="Times New Roman" w:hAnsi="Times New Roman" w:cs="Times New Roman"/>
          <w:sz w:val="24"/>
          <w:szCs w:val="24"/>
          <w:highlight w:val="white"/>
        </w:rPr>
        <w:lastRenderedPageBreak/>
        <w:t>selection, or some combination of the two, existing research suggests that access to elite higher education is strongly structured across socioeconomic lines.</w:t>
      </w:r>
    </w:p>
    <w:p w14:paraId="6B0358A0" w14:textId="77777777" w:rsidR="0009791B" w:rsidRDefault="0009791B" w:rsidP="0009791B">
      <w:pPr>
        <w:spacing w:line="240" w:lineRule="auto"/>
        <w:rPr>
          <w:rFonts w:ascii="Times New Roman" w:eastAsia="Times New Roman" w:hAnsi="Times New Roman" w:cs="Times New Roman"/>
          <w:sz w:val="24"/>
          <w:szCs w:val="24"/>
          <w:highlight w:val="white"/>
        </w:rPr>
      </w:pPr>
    </w:p>
    <w:p w14:paraId="2B61DFFE" w14:textId="7A6BCFDB" w:rsidR="004C7857" w:rsidRDefault="00000000" w:rsidP="0009791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Despite growing literature on access to elite higher education, evidence remains concentrated in countries with long-standing market economies and highly stratified systems of educational opportunity. Formerly Soviet contexts remain largely absent from research on access to elite higher education. It is therefore unclear whether patterns documented in Western Europe, North America, and East Asia extend to countries that inherited educational systems shaped by decades of state-led commitments to universal access and relatively egalitarian provision, but that have more recently introduced selective secondary and postsecondary institutions. This study addresses this gap by providing the first national-level analysis of the predictors of access to Kazakhstan’s most selective postsecondary institution, Nazarbayev University.</w:t>
      </w:r>
    </w:p>
    <w:p w14:paraId="15120DC1" w14:textId="77777777" w:rsidR="0009791B" w:rsidRDefault="0009791B" w:rsidP="0009791B">
      <w:pPr>
        <w:spacing w:line="240" w:lineRule="auto"/>
        <w:rPr>
          <w:rFonts w:ascii="Times New Roman" w:eastAsia="Times New Roman" w:hAnsi="Times New Roman" w:cs="Times New Roman"/>
          <w:sz w:val="24"/>
          <w:szCs w:val="24"/>
          <w:highlight w:val="white"/>
        </w:rPr>
      </w:pPr>
    </w:p>
    <w:p w14:paraId="5538435F" w14:textId="77777777" w:rsidR="0009791B" w:rsidRDefault="00000000" w:rsidP="0009791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Study Context</w:t>
      </w:r>
    </w:p>
    <w:p w14:paraId="6ABBD1A3" w14:textId="77777777" w:rsidR="0009791B" w:rsidRDefault="0009791B" w:rsidP="0009791B">
      <w:pPr>
        <w:spacing w:line="240" w:lineRule="auto"/>
        <w:rPr>
          <w:rFonts w:ascii="Times New Roman" w:eastAsia="Times New Roman" w:hAnsi="Times New Roman" w:cs="Times New Roman"/>
          <w:b/>
          <w:bCs/>
          <w:sz w:val="24"/>
          <w:szCs w:val="24"/>
          <w:highlight w:val="white"/>
        </w:rPr>
      </w:pPr>
    </w:p>
    <w:p w14:paraId="2D309975" w14:textId="6A7D79F0" w:rsidR="0009791B" w:rsidRPr="0009791B" w:rsidRDefault="00000000" w:rsidP="0009791B">
      <w:pPr>
        <w:spacing w:line="240" w:lineRule="auto"/>
        <w:rPr>
          <w:rFonts w:ascii="Times New Roman" w:eastAsia="Times New Roman" w:hAnsi="Times New Roman" w:cs="Times New Roman"/>
          <w:b/>
          <w:bCs/>
          <w:i/>
          <w:iCs/>
          <w:sz w:val="24"/>
          <w:szCs w:val="24"/>
          <w:highlight w:val="white"/>
        </w:rPr>
      </w:pPr>
      <w:r w:rsidRPr="0009791B">
        <w:rPr>
          <w:rFonts w:ascii="Times New Roman" w:eastAsia="Times New Roman" w:hAnsi="Times New Roman" w:cs="Times New Roman"/>
          <w:b/>
          <w:bCs/>
          <w:i/>
          <w:iCs/>
          <w:sz w:val="24"/>
          <w:szCs w:val="24"/>
          <w:highlight w:val="white"/>
        </w:rPr>
        <w:t>Nazarbayev University: The “Apex” of Selective Higher Education in Kazakhstan</w:t>
      </w:r>
    </w:p>
    <w:p w14:paraId="78151BEF" w14:textId="77777777" w:rsidR="0009791B" w:rsidRDefault="0009791B" w:rsidP="0009791B">
      <w:pPr>
        <w:spacing w:line="240" w:lineRule="auto"/>
        <w:rPr>
          <w:rFonts w:ascii="Times New Roman" w:eastAsia="Times New Roman" w:hAnsi="Times New Roman" w:cs="Times New Roman"/>
          <w:b/>
          <w:bCs/>
          <w:sz w:val="24"/>
          <w:szCs w:val="24"/>
          <w:highlight w:val="white"/>
        </w:rPr>
      </w:pPr>
    </w:p>
    <w:p w14:paraId="6741DF79" w14:textId="77777777" w:rsidR="0009791B" w:rsidRDefault="00000000" w:rsidP="0009791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In recent decades, Kazakhstan has invested heavily in the development of a selective higher education sector. For example, as the country transitioned from a centrally planned to a market-based economy in the early post-Soviet 1990s, it established what are now KIMEP University and SDU University, selective private institutions designed to train students for newly emerging sectors of the economy. Later, in the 2000s, the state founded the highly selective Kazakh-British Technical University, which introduced dual-degree programs in partnership with leading western institutions, including the London School of Economics (Hartley &amp; Ruby, 2025). Collectively, these developments reflected broader efforts to modernize higher education and cultivate highly skilled human capital.</w:t>
      </w:r>
    </w:p>
    <w:p w14:paraId="24E41FF4" w14:textId="77777777" w:rsidR="0009791B" w:rsidRDefault="0009791B" w:rsidP="0009791B">
      <w:pPr>
        <w:spacing w:line="240" w:lineRule="auto"/>
        <w:rPr>
          <w:rFonts w:ascii="Times New Roman" w:eastAsia="Times New Roman" w:hAnsi="Times New Roman" w:cs="Times New Roman"/>
          <w:b/>
          <w:bCs/>
          <w:sz w:val="24"/>
          <w:szCs w:val="24"/>
          <w:highlight w:val="white"/>
        </w:rPr>
      </w:pPr>
    </w:p>
    <w:p w14:paraId="3CEE574A" w14:textId="77777777" w:rsidR="0009791B" w:rsidRDefault="00000000" w:rsidP="0009791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Among these institutions, NU occupies a distinctive position that can be described as the “apex” of Kazakhstan’s higher education system. Established in 2010 as an English-medium, research-intensive university, NU was created as a flagship institution intended to become a “world-class” university and to advance Kazakhstan’s ambition of developing a globally competitive higher education sector (Ruby, 2017). Unlike most public universities, NU operates with substantial autonomy from the Ministry of Science and Higher Education and has independent authority over admissions, curriculum, and academic programming. Supported by sustained public investment, the university has developed extensive international partnerships, recruited faculty from around the world, and adopted academic standards modeled on leading research universities (Hartley &amp; Ruby, 2025; Katsu &amp; </w:t>
      </w:r>
      <w:proofErr w:type="spellStart"/>
      <w:r>
        <w:rPr>
          <w:rFonts w:ascii="Times New Roman" w:eastAsia="Times New Roman" w:hAnsi="Times New Roman" w:cs="Times New Roman"/>
          <w:sz w:val="24"/>
          <w:szCs w:val="24"/>
          <w:highlight w:val="white"/>
        </w:rPr>
        <w:t>Saniyazova</w:t>
      </w:r>
      <w:proofErr w:type="spellEnd"/>
      <w:r>
        <w:rPr>
          <w:rFonts w:ascii="Times New Roman" w:eastAsia="Times New Roman" w:hAnsi="Times New Roman" w:cs="Times New Roman"/>
          <w:sz w:val="24"/>
          <w:szCs w:val="24"/>
          <w:highlight w:val="white"/>
        </w:rPr>
        <w:t>, 2018).</w:t>
      </w:r>
    </w:p>
    <w:p w14:paraId="35CCB5E8" w14:textId="77777777" w:rsidR="0009791B" w:rsidRDefault="0009791B" w:rsidP="0009791B">
      <w:pPr>
        <w:spacing w:line="240" w:lineRule="auto"/>
        <w:rPr>
          <w:rFonts w:ascii="Times New Roman" w:eastAsia="Times New Roman" w:hAnsi="Times New Roman" w:cs="Times New Roman"/>
          <w:b/>
          <w:bCs/>
          <w:sz w:val="24"/>
          <w:szCs w:val="24"/>
          <w:highlight w:val="white"/>
        </w:rPr>
      </w:pPr>
    </w:p>
    <w:p w14:paraId="5676926A" w14:textId="77777777" w:rsidR="0009791B" w:rsidRDefault="00000000" w:rsidP="0009791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NU’s admissions system further distinguishes it from the rest of Kazakhstan’s higher education sector. Whereas admissions to most universities are based primarily on performance on the nationwide centralized Unified National Test (</w:t>
      </w:r>
      <w:proofErr w:type="spellStart"/>
      <w:r>
        <w:rPr>
          <w:rFonts w:ascii="Times New Roman" w:eastAsia="Times New Roman" w:hAnsi="Times New Roman" w:cs="Times New Roman"/>
          <w:sz w:val="24"/>
          <w:szCs w:val="24"/>
          <w:highlight w:val="white"/>
        </w:rPr>
        <w:t>Nurshatayeva</w:t>
      </w:r>
      <w:proofErr w:type="spellEnd"/>
      <w:r>
        <w:rPr>
          <w:rFonts w:ascii="Times New Roman" w:eastAsia="Times New Roman" w:hAnsi="Times New Roman" w:cs="Times New Roman"/>
          <w:sz w:val="24"/>
          <w:szCs w:val="24"/>
          <w:highlight w:val="white"/>
        </w:rPr>
        <w:t xml:space="preserve"> et al., 2026), NU employs a separate process centered on internationally recognized assessments, including IELTS/TOEFL, the SAT, and its own institutional entrance examination, the NU Entrance Test, or NUET.</w:t>
      </w:r>
      <w:r>
        <w:rPr>
          <w:rFonts w:ascii="Times New Roman" w:eastAsia="Times New Roman" w:hAnsi="Times New Roman" w:cs="Times New Roman"/>
          <w:sz w:val="24"/>
          <w:szCs w:val="24"/>
          <w:highlight w:val="white"/>
          <w:vertAlign w:val="superscript"/>
        </w:rPr>
        <w:footnoteReference w:id="4"/>
      </w:r>
      <w:r>
        <w:rPr>
          <w:rFonts w:ascii="Times New Roman" w:eastAsia="Times New Roman" w:hAnsi="Times New Roman" w:cs="Times New Roman"/>
          <w:sz w:val="24"/>
          <w:szCs w:val="24"/>
          <w:highlight w:val="white"/>
        </w:rPr>
        <w:t xml:space="preserve"> Admitted students are therefore expected to demonstrate not only strong academic achievement but also advanced English-language proficiency and familiarity with </w:t>
      </w:r>
      <w:r>
        <w:rPr>
          <w:rFonts w:ascii="Times New Roman" w:eastAsia="Times New Roman" w:hAnsi="Times New Roman" w:cs="Times New Roman"/>
          <w:sz w:val="24"/>
          <w:szCs w:val="24"/>
          <w:highlight w:val="white"/>
        </w:rPr>
        <w:lastRenderedPageBreak/>
        <w:t>testing formats that are uncommon in much of the country’s secondary education system. In recent years, admitted students averaged IELTS scores of 6.7 in the Foundation Program</w:t>
      </w:r>
      <w:r>
        <w:rPr>
          <w:rFonts w:ascii="Times New Roman" w:eastAsia="Times New Roman" w:hAnsi="Times New Roman" w:cs="Times New Roman"/>
          <w:sz w:val="24"/>
          <w:szCs w:val="24"/>
          <w:highlight w:val="white"/>
          <w:vertAlign w:val="superscript"/>
        </w:rPr>
        <w:footnoteReference w:id="5"/>
      </w:r>
      <w:r>
        <w:rPr>
          <w:rFonts w:ascii="Times New Roman" w:eastAsia="Times New Roman" w:hAnsi="Times New Roman" w:cs="Times New Roman"/>
          <w:sz w:val="24"/>
          <w:szCs w:val="24"/>
          <w:highlight w:val="white"/>
        </w:rPr>
        <w:t xml:space="preserve"> and 7.2 in undergraduate programs, and SAT scores of admitted students averaged 1385 points (NU, 2026). </w:t>
      </w:r>
    </w:p>
    <w:p w14:paraId="16BEEEB1" w14:textId="77777777" w:rsidR="0009791B" w:rsidRDefault="0009791B" w:rsidP="0009791B">
      <w:pPr>
        <w:spacing w:line="240" w:lineRule="auto"/>
        <w:rPr>
          <w:rFonts w:ascii="Times New Roman" w:eastAsia="Times New Roman" w:hAnsi="Times New Roman" w:cs="Times New Roman"/>
          <w:b/>
          <w:bCs/>
          <w:sz w:val="24"/>
          <w:szCs w:val="24"/>
          <w:highlight w:val="white"/>
        </w:rPr>
      </w:pPr>
    </w:p>
    <w:p w14:paraId="34E227CA" w14:textId="1DDBDD21" w:rsidR="004C7857" w:rsidRPr="0009791B" w:rsidRDefault="00000000" w:rsidP="0009791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Between 2021 and 2023, NU enrolled approximately 1,300 new students annually, including roughly 700 undergraduate students and 600 Foundation Program students. As of 2026, total enrollment stands at approximately 8,000 students, with undergraduate and Foundation Program students accounting for nearly three-quarters of the student body.</w:t>
      </w:r>
    </w:p>
    <w:p w14:paraId="3067E0FB" w14:textId="77777777" w:rsidR="0009791B" w:rsidRDefault="0009791B">
      <w:pPr>
        <w:spacing w:line="240" w:lineRule="auto"/>
        <w:jc w:val="both"/>
        <w:rPr>
          <w:rFonts w:ascii="Times New Roman" w:eastAsia="Times New Roman" w:hAnsi="Times New Roman" w:cs="Times New Roman"/>
          <w:b/>
          <w:bCs/>
          <w:sz w:val="24"/>
          <w:szCs w:val="24"/>
          <w:highlight w:val="white"/>
        </w:rPr>
      </w:pPr>
    </w:p>
    <w:p w14:paraId="4852E5E4" w14:textId="77777777" w:rsidR="0009791B" w:rsidRPr="0009791B" w:rsidRDefault="00000000" w:rsidP="0009791B">
      <w:pPr>
        <w:spacing w:line="240" w:lineRule="auto"/>
        <w:jc w:val="both"/>
        <w:rPr>
          <w:rFonts w:ascii="Times New Roman" w:eastAsia="Times New Roman" w:hAnsi="Times New Roman" w:cs="Times New Roman"/>
          <w:b/>
          <w:bCs/>
          <w:i/>
          <w:iCs/>
          <w:sz w:val="24"/>
          <w:szCs w:val="24"/>
          <w:highlight w:val="white"/>
        </w:rPr>
      </w:pPr>
      <w:r w:rsidRPr="0009791B">
        <w:rPr>
          <w:rFonts w:ascii="Times New Roman" w:eastAsia="Times New Roman" w:hAnsi="Times New Roman" w:cs="Times New Roman"/>
          <w:b/>
          <w:bCs/>
          <w:i/>
          <w:iCs/>
          <w:sz w:val="24"/>
          <w:szCs w:val="24"/>
          <w:highlight w:val="white"/>
        </w:rPr>
        <w:t>Secondary School Stratification in Kazakhstan</w:t>
      </w:r>
    </w:p>
    <w:p w14:paraId="4EDF7CF0" w14:textId="77777777" w:rsidR="0009791B" w:rsidRDefault="0009791B" w:rsidP="0009791B">
      <w:pPr>
        <w:spacing w:line="240" w:lineRule="auto"/>
        <w:jc w:val="both"/>
        <w:rPr>
          <w:rFonts w:ascii="Times New Roman" w:eastAsia="Times New Roman" w:hAnsi="Times New Roman" w:cs="Times New Roman"/>
          <w:b/>
          <w:bCs/>
          <w:sz w:val="24"/>
          <w:szCs w:val="24"/>
          <w:highlight w:val="white"/>
        </w:rPr>
      </w:pPr>
    </w:p>
    <w:p w14:paraId="2987212B" w14:textId="77777777" w:rsidR="0009791B" w:rsidRDefault="00000000" w:rsidP="0009791B">
      <w:pPr>
        <w:spacing w:line="24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Kazakhstan’s contemporary secondary education system is built on institutional foundations inherited from the Soviet period, including universal access to schooling, high literacy rates, a qualified teaching workforce, and a centralized curriculum. Most students attend regular public schools, which are publicly funded and follow the national curriculum. However, educational opportunities vary substantially across school contexts. Urban schools tend to be larger and have greater proximity to universities, supplementary educational services, test-preparation markets, and information networks related to higher education. Rural schools serve more geographically dispersed populations and often face constraints in access to specialized teachers, advanced coursework, English-language instruction, and university admissions guidance (Bray, 2023; Hajar &amp; </w:t>
      </w:r>
      <w:proofErr w:type="spellStart"/>
      <w:r>
        <w:rPr>
          <w:rFonts w:ascii="Times New Roman" w:eastAsia="Times New Roman" w:hAnsi="Times New Roman" w:cs="Times New Roman"/>
          <w:sz w:val="24"/>
          <w:szCs w:val="24"/>
          <w:highlight w:val="white"/>
        </w:rPr>
        <w:t>Karakus</w:t>
      </w:r>
      <w:proofErr w:type="spellEnd"/>
      <w:r>
        <w:rPr>
          <w:rFonts w:ascii="Times New Roman" w:eastAsia="Times New Roman" w:hAnsi="Times New Roman" w:cs="Times New Roman"/>
          <w:sz w:val="24"/>
          <w:szCs w:val="24"/>
          <w:highlight w:val="white"/>
        </w:rPr>
        <w:t>, 2025). Multigrade schools, which primarily serve small and remote rural communities, constitute a particularly resource-constrained segment of the education system.</w:t>
      </w:r>
    </w:p>
    <w:p w14:paraId="484ECFDB" w14:textId="77777777" w:rsidR="0009791B" w:rsidRDefault="0009791B" w:rsidP="0009791B">
      <w:pPr>
        <w:spacing w:line="240" w:lineRule="auto"/>
        <w:jc w:val="both"/>
        <w:rPr>
          <w:rFonts w:ascii="Times New Roman" w:eastAsia="Times New Roman" w:hAnsi="Times New Roman" w:cs="Times New Roman"/>
          <w:b/>
          <w:bCs/>
          <w:sz w:val="24"/>
          <w:szCs w:val="24"/>
          <w:highlight w:val="white"/>
        </w:rPr>
      </w:pPr>
    </w:p>
    <w:p w14:paraId="758730DB" w14:textId="77777777" w:rsidR="0009791B" w:rsidRDefault="00000000" w:rsidP="0009791B">
      <w:pPr>
        <w:spacing w:line="24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Alongside maintaining broad access to schooling, in recent decades, Kazakhstan has invested heavily in the development of highly selective secondary schools (</w:t>
      </w:r>
      <w:proofErr w:type="spellStart"/>
      <w:r>
        <w:rPr>
          <w:rFonts w:ascii="Times New Roman" w:eastAsia="Times New Roman" w:hAnsi="Times New Roman" w:cs="Times New Roman"/>
          <w:sz w:val="24"/>
          <w:szCs w:val="24"/>
          <w:highlight w:val="white"/>
        </w:rPr>
        <w:t>Kemelbayeva</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Kurmanov</w:t>
      </w:r>
      <w:proofErr w:type="spellEnd"/>
      <w:r>
        <w:rPr>
          <w:rFonts w:ascii="Times New Roman" w:eastAsia="Times New Roman" w:hAnsi="Times New Roman" w:cs="Times New Roman"/>
          <w:sz w:val="24"/>
          <w:szCs w:val="24"/>
          <w:highlight w:val="white"/>
        </w:rPr>
        <w:t xml:space="preserve">, 2024; </w:t>
      </w:r>
      <w:proofErr w:type="spellStart"/>
      <w:r>
        <w:rPr>
          <w:rFonts w:ascii="Times New Roman" w:eastAsia="Times New Roman" w:hAnsi="Times New Roman" w:cs="Times New Roman"/>
          <w:sz w:val="24"/>
          <w:szCs w:val="24"/>
          <w:highlight w:val="white"/>
        </w:rPr>
        <w:t>Yakavets</w:t>
      </w:r>
      <w:proofErr w:type="spellEnd"/>
      <w:r>
        <w:rPr>
          <w:rFonts w:ascii="Times New Roman" w:eastAsia="Times New Roman" w:hAnsi="Times New Roman" w:cs="Times New Roman"/>
          <w:sz w:val="24"/>
          <w:szCs w:val="24"/>
          <w:highlight w:val="white"/>
        </w:rPr>
        <w:t>, 2014). Despite differences in governance and pedagogical approach, these schools share several defining features: They are publicly funded, admit students through competitive examinations, provide enriched academic programs, emphasize STEM and foreign-language preparation, and maintain strong traditions of preparing students for academic competitions and selective university admissions. Policymakers have sought to reduce geographic barriers to attending these schools by locating them in regional capitals and major cities, including Astana, Almaty, and Shymkent. Furthermore, many operate boarding facilities, enabling students from rural and remote areas to enroll if admitted. As a result, the selective-school system combines highly competitive entry requirements with broad territorial reach.</w:t>
      </w:r>
    </w:p>
    <w:p w14:paraId="2CF3CCF7" w14:textId="77777777" w:rsidR="0009791B" w:rsidRDefault="0009791B" w:rsidP="0009791B">
      <w:pPr>
        <w:spacing w:line="240" w:lineRule="auto"/>
        <w:jc w:val="both"/>
        <w:rPr>
          <w:rFonts w:ascii="Times New Roman" w:eastAsia="Times New Roman" w:hAnsi="Times New Roman" w:cs="Times New Roman"/>
          <w:b/>
          <w:bCs/>
          <w:sz w:val="24"/>
          <w:szCs w:val="24"/>
          <w:highlight w:val="white"/>
        </w:rPr>
      </w:pPr>
    </w:p>
    <w:p w14:paraId="3876FE6C" w14:textId="5E6A3EB0" w:rsidR="004C7857" w:rsidRPr="0009791B" w:rsidRDefault="00000000" w:rsidP="0009791B">
      <w:pPr>
        <w:spacing w:line="24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The largest and most visible network of such schools is the Nazarbayev Intellectual Schools (NIS), established in 2008 as a system of selective STEM-oriented schools intended to serve as laboratories for educational innovation and system-wide reform (</w:t>
      </w:r>
      <w:proofErr w:type="spellStart"/>
      <w:r>
        <w:rPr>
          <w:rFonts w:ascii="Times New Roman" w:eastAsia="Times New Roman" w:hAnsi="Times New Roman" w:cs="Times New Roman"/>
          <w:sz w:val="24"/>
          <w:szCs w:val="24"/>
          <w:highlight w:val="white"/>
        </w:rPr>
        <w:t>Shamshidinova</w:t>
      </w:r>
      <w:proofErr w:type="spellEnd"/>
      <w:r>
        <w:rPr>
          <w:rFonts w:ascii="Times New Roman" w:eastAsia="Times New Roman" w:hAnsi="Times New Roman" w:cs="Times New Roman"/>
          <w:sz w:val="24"/>
          <w:szCs w:val="24"/>
          <w:highlight w:val="white"/>
        </w:rPr>
        <w:t xml:space="preserve"> et al., 2014; </w:t>
      </w:r>
      <w:proofErr w:type="spellStart"/>
      <w:r>
        <w:rPr>
          <w:rFonts w:ascii="Times New Roman" w:eastAsia="Times New Roman" w:hAnsi="Times New Roman" w:cs="Times New Roman"/>
          <w:sz w:val="24"/>
          <w:szCs w:val="24"/>
          <w:highlight w:val="white"/>
        </w:rPr>
        <w:t>Yakavets</w:t>
      </w:r>
      <w:proofErr w:type="spellEnd"/>
      <w:r>
        <w:rPr>
          <w:rFonts w:ascii="Times New Roman" w:eastAsia="Times New Roman" w:hAnsi="Times New Roman" w:cs="Times New Roman"/>
          <w:sz w:val="24"/>
          <w:szCs w:val="24"/>
          <w:highlight w:val="white"/>
        </w:rPr>
        <w:t>, 2014). NIS schools employ internationally oriented curricula, maintain partnerships with global educational organizations, and receive substantially higher levels of funding than regular public schools.</w:t>
      </w:r>
      <w:r>
        <w:rPr>
          <w:rFonts w:ascii="Times New Roman" w:eastAsia="Times New Roman" w:hAnsi="Times New Roman" w:cs="Times New Roman"/>
          <w:sz w:val="24"/>
          <w:szCs w:val="24"/>
          <w:highlight w:val="white"/>
          <w:vertAlign w:val="superscript"/>
        </w:rPr>
        <w:footnoteReference w:id="6"/>
      </w:r>
      <w:r>
        <w:rPr>
          <w:rFonts w:ascii="Times New Roman" w:eastAsia="Times New Roman" w:hAnsi="Times New Roman" w:cs="Times New Roman"/>
          <w:sz w:val="24"/>
          <w:szCs w:val="24"/>
          <w:highlight w:val="white"/>
        </w:rPr>
        <w:t xml:space="preserve"> Another prominent network is the </w:t>
      </w:r>
      <w:proofErr w:type="spellStart"/>
      <w:r>
        <w:rPr>
          <w:rFonts w:ascii="Times New Roman" w:eastAsia="Times New Roman" w:hAnsi="Times New Roman" w:cs="Times New Roman"/>
          <w:sz w:val="24"/>
          <w:szCs w:val="24"/>
          <w:highlight w:val="white"/>
        </w:rPr>
        <w:t>Bilim</w:t>
      </w:r>
      <w:proofErr w:type="spellEnd"/>
      <w:r>
        <w:rPr>
          <w:rFonts w:ascii="Times New Roman" w:eastAsia="Times New Roman" w:hAnsi="Times New Roman" w:cs="Times New Roman"/>
          <w:sz w:val="24"/>
          <w:szCs w:val="24"/>
          <w:highlight w:val="white"/>
        </w:rPr>
        <w:t xml:space="preserve">-Innovation Lyceums (BIL), a </w:t>
      </w:r>
      <w:r>
        <w:rPr>
          <w:rFonts w:ascii="Times New Roman" w:eastAsia="Times New Roman" w:hAnsi="Times New Roman" w:cs="Times New Roman"/>
          <w:sz w:val="24"/>
          <w:szCs w:val="24"/>
          <w:highlight w:val="white"/>
        </w:rPr>
        <w:lastRenderedPageBreak/>
        <w:t>system of 36 academically selective schools established in the early 1990s. BIL schools are known for their strong STEM and academic competition preparation, as well as their emphasis on values-based education (</w:t>
      </w:r>
      <w:proofErr w:type="spellStart"/>
      <w:r>
        <w:rPr>
          <w:rFonts w:ascii="Times New Roman" w:eastAsia="Times New Roman" w:hAnsi="Times New Roman" w:cs="Times New Roman"/>
          <w:sz w:val="24"/>
          <w:szCs w:val="24"/>
          <w:highlight w:val="white"/>
        </w:rPr>
        <w:t>Makhmetov</w:t>
      </w:r>
      <w:proofErr w:type="spellEnd"/>
      <w:r>
        <w:rPr>
          <w:rFonts w:ascii="Times New Roman" w:eastAsia="Times New Roman" w:hAnsi="Times New Roman" w:cs="Times New Roman"/>
          <w:sz w:val="24"/>
          <w:szCs w:val="24"/>
          <w:highlight w:val="white"/>
        </w:rPr>
        <w:t xml:space="preserve">, 2025; </w:t>
      </w:r>
      <w:proofErr w:type="spellStart"/>
      <w:r>
        <w:rPr>
          <w:rFonts w:ascii="Times New Roman" w:eastAsia="Times New Roman" w:hAnsi="Times New Roman" w:cs="Times New Roman"/>
          <w:sz w:val="24"/>
          <w:szCs w:val="24"/>
          <w:highlight w:val="white"/>
        </w:rPr>
        <w:t>Zhussipbek</w:t>
      </w:r>
      <w:proofErr w:type="spellEnd"/>
      <w:r>
        <w:rPr>
          <w:rFonts w:ascii="Times New Roman" w:eastAsia="Times New Roman" w:hAnsi="Times New Roman" w:cs="Times New Roman"/>
          <w:sz w:val="24"/>
          <w:szCs w:val="24"/>
          <w:highlight w:val="white"/>
        </w:rPr>
        <w:t xml:space="preserve">, 2019). Other selective institutions include approximately 80 </w:t>
      </w:r>
      <w:proofErr w:type="spellStart"/>
      <w:r>
        <w:rPr>
          <w:rFonts w:ascii="Times New Roman" w:eastAsia="Times New Roman" w:hAnsi="Times New Roman" w:cs="Times New Roman"/>
          <w:sz w:val="24"/>
          <w:szCs w:val="24"/>
          <w:highlight w:val="white"/>
        </w:rPr>
        <w:t>Daryn</w:t>
      </w:r>
      <w:proofErr w:type="spellEnd"/>
      <w:r>
        <w:rPr>
          <w:rFonts w:ascii="Times New Roman" w:eastAsia="Times New Roman" w:hAnsi="Times New Roman" w:cs="Times New Roman"/>
          <w:sz w:val="24"/>
          <w:szCs w:val="24"/>
          <w:highlight w:val="white"/>
        </w:rPr>
        <w:t xml:space="preserve"> specialized schools, which serve academically gifted students, and the National Schools of Physics and Mathematics (</w:t>
      </w:r>
      <w:proofErr w:type="spellStart"/>
      <w:r>
        <w:rPr>
          <w:rFonts w:ascii="Times New Roman" w:eastAsia="Times New Roman" w:hAnsi="Times New Roman" w:cs="Times New Roman"/>
          <w:sz w:val="24"/>
          <w:szCs w:val="24"/>
          <w:highlight w:val="white"/>
        </w:rPr>
        <w:t>Fizmat</w:t>
      </w:r>
      <w:proofErr w:type="spellEnd"/>
      <w:r>
        <w:rPr>
          <w:rFonts w:ascii="Times New Roman" w:eastAsia="Times New Roman" w:hAnsi="Times New Roman" w:cs="Times New Roman"/>
          <w:sz w:val="24"/>
          <w:szCs w:val="24"/>
          <w:highlight w:val="white"/>
        </w:rPr>
        <w:t>) in Astana and Almaty. Originally modeled on specialized mathematics and science boarding schools established during the Soviet era, these institutions continue to provide advanced instruction in mathematics and the natural sciences.</w:t>
      </w:r>
    </w:p>
    <w:p w14:paraId="5EADD7E0" w14:textId="77777777" w:rsidR="0009791B" w:rsidRDefault="0009791B">
      <w:pPr>
        <w:keepNext/>
        <w:spacing w:line="240" w:lineRule="auto"/>
        <w:jc w:val="center"/>
        <w:rPr>
          <w:rFonts w:ascii="Times New Roman" w:eastAsia="Times New Roman" w:hAnsi="Times New Roman" w:cs="Times New Roman"/>
          <w:b/>
          <w:bCs/>
          <w:sz w:val="24"/>
          <w:szCs w:val="24"/>
          <w:highlight w:val="white"/>
        </w:rPr>
      </w:pPr>
    </w:p>
    <w:p w14:paraId="480B469B" w14:textId="200AF035" w:rsidR="004C7857" w:rsidRDefault="00000000" w:rsidP="0009791B">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Methods</w:t>
      </w:r>
    </w:p>
    <w:p w14:paraId="7871021A" w14:textId="77777777" w:rsidR="0009791B" w:rsidRDefault="0009791B">
      <w:pPr>
        <w:spacing w:line="240" w:lineRule="auto"/>
        <w:jc w:val="both"/>
        <w:rPr>
          <w:rFonts w:ascii="Times New Roman" w:eastAsia="Times New Roman" w:hAnsi="Times New Roman" w:cs="Times New Roman"/>
          <w:b/>
          <w:bCs/>
          <w:sz w:val="24"/>
          <w:szCs w:val="24"/>
          <w:highlight w:val="white"/>
        </w:rPr>
      </w:pPr>
    </w:p>
    <w:p w14:paraId="1F69F3F1" w14:textId="77777777" w:rsidR="0009791B" w:rsidRDefault="00000000" w:rsidP="0009791B">
      <w:pPr>
        <w:spacing w:line="240" w:lineRule="auto"/>
        <w:jc w:val="both"/>
        <w:rPr>
          <w:rFonts w:ascii="Times New Roman" w:eastAsia="Times New Roman" w:hAnsi="Times New Roman" w:cs="Times New Roman"/>
          <w:b/>
          <w:bCs/>
          <w:i/>
          <w:iCs/>
          <w:sz w:val="24"/>
          <w:szCs w:val="24"/>
          <w:highlight w:val="white"/>
        </w:rPr>
      </w:pPr>
      <w:r w:rsidRPr="0009791B">
        <w:rPr>
          <w:rFonts w:ascii="Times New Roman" w:eastAsia="Times New Roman" w:hAnsi="Times New Roman" w:cs="Times New Roman"/>
          <w:b/>
          <w:bCs/>
          <w:i/>
          <w:iCs/>
          <w:sz w:val="24"/>
          <w:szCs w:val="24"/>
          <w:highlight w:val="white"/>
        </w:rPr>
        <w:t>Data and Analytic Sample</w:t>
      </w:r>
    </w:p>
    <w:p w14:paraId="6A8914A9" w14:textId="77777777" w:rsidR="0009791B" w:rsidRDefault="0009791B" w:rsidP="0009791B">
      <w:pPr>
        <w:spacing w:line="240" w:lineRule="auto"/>
        <w:jc w:val="both"/>
        <w:rPr>
          <w:rFonts w:ascii="Times New Roman" w:eastAsia="Times New Roman" w:hAnsi="Times New Roman" w:cs="Times New Roman"/>
          <w:b/>
          <w:bCs/>
          <w:i/>
          <w:iCs/>
          <w:sz w:val="24"/>
          <w:szCs w:val="24"/>
          <w:highlight w:val="white"/>
        </w:rPr>
      </w:pPr>
    </w:p>
    <w:p w14:paraId="20BCD5D8" w14:textId="77777777" w:rsidR="0009791B" w:rsidRDefault="00000000" w:rsidP="0009791B">
      <w:pPr>
        <w:spacing w:line="240" w:lineRule="auto"/>
        <w:jc w:val="both"/>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t xml:space="preserve">For the current analysis, we use administrative data from Kazakhstan’s National Education Database, maintained by the </w:t>
      </w:r>
      <w:proofErr w:type="spellStart"/>
      <w:r>
        <w:rPr>
          <w:rFonts w:ascii="Times New Roman" w:eastAsia="Times New Roman" w:hAnsi="Times New Roman" w:cs="Times New Roman"/>
          <w:sz w:val="24"/>
          <w:szCs w:val="24"/>
          <w:highlight w:val="white"/>
        </w:rPr>
        <w:t>Taldau</w:t>
      </w:r>
      <w:proofErr w:type="spellEnd"/>
      <w:r>
        <w:rPr>
          <w:rFonts w:ascii="Times New Roman" w:eastAsia="Times New Roman" w:hAnsi="Times New Roman" w:cs="Times New Roman"/>
          <w:sz w:val="24"/>
          <w:szCs w:val="24"/>
          <w:highlight w:val="white"/>
        </w:rPr>
        <w:t xml:space="preserve"> National Center for Education Research and Evaluation of the Ministry of Education. Using unique student identifiers, we link individual-level records from four administrative datasets: (1) a school characteristics dataset containing institutional information on all secondary schools; (2) a student-level dataset including records for all secondary school graduates; (3) a higher education institution characteristics dataset with information on universities; and (4) a student-level dataset including records for all postsecondary enrollees.</w:t>
      </w:r>
    </w:p>
    <w:p w14:paraId="34B9F2A8" w14:textId="77777777" w:rsidR="0009791B" w:rsidRDefault="0009791B" w:rsidP="0009791B">
      <w:pPr>
        <w:spacing w:line="240" w:lineRule="auto"/>
        <w:jc w:val="both"/>
        <w:rPr>
          <w:rFonts w:ascii="Times New Roman" w:eastAsia="Times New Roman" w:hAnsi="Times New Roman" w:cs="Times New Roman"/>
          <w:b/>
          <w:bCs/>
          <w:i/>
          <w:iCs/>
          <w:sz w:val="24"/>
          <w:szCs w:val="24"/>
          <w:highlight w:val="white"/>
        </w:rPr>
      </w:pPr>
    </w:p>
    <w:p w14:paraId="3026380F" w14:textId="5C9ED3F2" w:rsidR="004C7857" w:rsidRDefault="00000000" w:rsidP="0009791B">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analytic sample includes all students graduating from secondary school in 2021, 2022, and 2023. This period represents the only timeframe for which administrative records on both secondary school completion and university enrollment are available and can be linked. After listwise deletion of cases with missing values on independent variables, the final analytic sample consists of 499,150 observations, representing 99.56% of the original raw data. Given the very low rate of missingness and the absence of systematic variation in missing data across school types, listwise deletion is unlikely to introduce meaningful bias.</w:t>
      </w:r>
      <w:r>
        <w:rPr>
          <w:rFonts w:ascii="Times New Roman" w:eastAsia="Times New Roman" w:hAnsi="Times New Roman" w:cs="Times New Roman"/>
          <w:sz w:val="24"/>
          <w:szCs w:val="24"/>
          <w:highlight w:val="white"/>
          <w:vertAlign w:val="superscript"/>
        </w:rPr>
        <w:footnoteReference w:id="7"/>
      </w:r>
    </w:p>
    <w:p w14:paraId="5435DE9A" w14:textId="77777777" w:rsidR="0009791B" w:rsidRPr="0009791B" w:rsidRDefault="0009791B" w:rsidP="0009791B">
      <w:pPr>
        <w:spacing w:line="240" w:lineRule="auto"/>
        <w:jc w:val="both"/>
        <w:rPr>
          <w:rFonts w:ascii="Times New Roman" w:eastAsia="Times New Roman" w:hAnsi="Times New Roman" w:cs="Times New Roman"/>
          <w:b/>
          <w:bCs/>
          <w:i/>
          <w:iCs/>
          <w:sz w:val="24"/>
          <w:szCs w:val="24"/>
          <w:highlight w:val="white"/>
        </w:rPr>
      </w:pPr>
    </w:p>
    <w:p w14:paraId="25DBF153" w14:textId="77777777" w:rsidR="0009791B" w:rsidRDefault="00000000" w:rsidP="0009791B">
      <w:pPr>
        <w:spacing w:line="240" w:lineRule="auto"/>
        <w:jc w:val="both"/>
        <w:rPr>
          <w:rFonts w:ascii="Times New Roman" w:eastAsia="Times New Roman" w:hAnsi="Times New Roman" w:cs="Times New Roman"/>
          <w:b/>
          <w:bCs/>
          <w:i/>
          <w:iCs/>
          <w:sz w:val="24"/>
          <w:szCs w:val="24"/>
          <w:highlight w:val="white"/>
        </w:rPr>
      </w:pPr>
      <w:r w:rsidRPr="0009791B">
        <w:rPr>
          <w:rFonts w:ascii="Times New Roman" w:eastAsia="Times New Roman" w:hAnsi="Times New Roman" w:cs="Times New Roman"/>
          <w:b/>
          <w:bCs/>
          <w:i/>
          <w:iCs/>
          <w:sz w:val="24"/>
          <w:szCs w:val="24"/>
          <w:highlight w:val="white"/>
        </w:rPr>
        <w:t>Variables</w:t>
      </w:r>
    </w:p>
    <w:p w14:paraId="1D9F0268" w14:textId="77777777" w:rsidR="0009791B" w:rsidRDefault="0009791B" w:rsidP="0009791B">
      <w:pPr>
        <w:spacing w:line="240" w:lineRule="auto"/>
        <w:jc w:val="both"/>
        <w:rPr>
          <w:rFonts w:ascii="Times New Roman" w:eastAsia="Times New Roman" w:hAnsi="Times New Roman" w:cs="Times New Roman"/>
          <w:b/>
          <w:bCs/>
          <w:i/>
          <w:iCs/>
          <w:sz w:val="24"/>
          <w:szCs w:val="24"/>
          <w:highlight w:val="white"/>
        </w:rPr>
      </w:pPr>
    </w:p>
    <w:p w14:paraId="391ACFAA" w14:textId="77777777" w:rsidR="00C31A3B" w:rsidRDefault="00000000" w:rsidP="00C31A3B">
      <w:pPr>
        <w:spacing w:line="240" w:lineRule="auto"/>
        <w:jc w:val="both"/>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t xml:space="preserve">The </w:t>
      </w:r>
      <w:r>
        <w:rPr>
          <w:rFonts w:ascii="Times New Roman" w:eastAsia="Times New Roman" w:hAnsi="Times New Roman" w:cs="Times New Roman"/>
          <w:i/>
          <w:iCs/>
          <w:sz w:val="24"/>
          <w:szCs w:val="24"/>
          <w:highlight w:val="white"/>
        </w:rPr>
        <w:t>dependent variable</w:t>
      </w:r>
      <w:r>
        <w:rPr>
          <w:rFonts w:ascii="Times New Roman" w:eastAsia="Times New Roman" w:hAnsi="Times New Roman" w:cs="Times New Roman"/>
          <w:sz w:val="24"/>
          <w:szCs w:val="24"/>
          <w:highlight w:val="white"/>
        </w:rPr>
        <w:t xml:space="preserve"> is enrollment at Nazarbayev University, coded as a binary indicator (1 = enrolled at NU; 0 = not enrolled at NU).</w:t>
      </w:r>
      <w:r>
        <w:rPr>
          <w:rFonts w:ascii="Times New Roman" w:eastAsia="Times New Roman" w:hAnsi="Times New Roman" w:cs="Times New Roman"/>
          <w:sz w:val="24"/>
          <w:szCs w:val="24"/>
          <w:highlight w:val="white"/>
          <w:vertAlign w:val="superscript"/>
        </w:rPr>
        <w:footnoteReference w:id="8"/>
      </w:r>
      <w:r>
        <w:rPr>
          <w:rFonts w:ascii="Times New Roman" w:eastAsia="Times New Roman" w:hAnsi="Times New Roman" w:cs="Times New Roman"/>
          <w:sz w:val="24"/>
          <w:szCs w:val="24"/>
          <w:highlight w:val="white"/>
        </w:rPr>
        <w:t xml:space="preserve"> </w:t>
      </w:r>
    </w:p>
    <w:p w14:paraId="3A5E2BF6" w14:textId="77777777" w:rsidR="00C31A3B" w:rsidRDefault="00C31A3B" w:rsidP="00C31A3B">
      <w:pPr>
        <w:spacing w:line="240" w:lineRule="auto"/>
        <w:jc w:val="both"/>
        <w:rPr>
          <w:rFonts w:ascii="Times New Roman" w:eastAsia="Times New Roman" w:hAnsi="Times New Roman" w:cs="Times New Roman"/>
          <w:b/>
          <w:bCs/>
          <w:i/>
          <w:iCs/>
          <w:sz w:val="24"/>
          <w:szCs w:val="24"/>
          <w:highlight w:val="white"/>
        </w:rPr>
      </w:pPr>
    </w:p>
    <w:p w14:paraId="4FFF2A4C" w14:textId="77777777" w:rsidR="00C31A3B" w:rsidRDefault="00000000" w:rsidP="00C31A3B">
      <w:pPr>
        <w:spacing w:line="240" w:lineRule="auto"/>
        <w:jc w:val="both"/>
        <w:rPr>
          <w:rFonts w:ascii="Times New Roman" w:eastAsia="Times New Roman" w:hAnsi="Times New Roman" w:cs="Times New Roman"/>
          <w:b/>
          <w:bCs/>
          <w:i/>
          <w:iCs/>
          <w:sz w:val="24"/>
          <w:szCs w:val="24"/>
          <w:highlight w:val="white"/>
        </w:rPr>
      </w:pPr>
      <w:r>
        <w:rPr>
          <w:rFonts w:ascii="Times New Roman" w:eastAsia="Times New Roman" w:hAnsi="Times New Roman" w:cs="Times New Roman"/>
          <w:i/>
          <w:iCs/>
          <w:sz w:val="24"/>
          <w:szCs w:val="24"/>
          <w:highlight w:val="white"/>
        </w:rPr>
        <w:t>School type</w:t>
      </w:r>
      <w:r>
        <w:rPr>
          <w:rFonts w:ascii="Times New Roman" w:eastAsia="Times New Roman" w:hAnsi="Times New Roman" w:cs="Times New Roman"/>
          <w:sz w:val="24"/>
          <w:szCs w:val="24"/>
          <w:highlight w:val="white"/>
        </w:rPr>
        <w:t xml:space="preserve"> is operationalized using 12 indicator variables capturing the main institutional categories of secondary schools in Kazakhstan; this is consistent with prior research on educational stratification and institutional differentiation within the country's schooling system (</w:t>
      </w:r>
      <w:proofErr w:type="spellStart"/>
      <w:r>
        <w:rPr>
          <w:rFonts w:ascii="Times New Roman" w:eastAsia="Times New Roman" w:hAnsi="Times New Roman" w:cs="Times New Roman"/>
          <w:sz w:val="24"/>
          <w:szCs w:val="24"/>
          <w:highlight w:val="white"/>
        </w:rPr>
        <w:t>Kemelbayeva</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Kurmanov</w:t>
      </w:r>
      <w:proofErr w:type="spellEnd"/>
      <w:r>
        <w:rPr>
          <w:rFonts w:ascii="Times New Roman" w:eastAsia="Times New Roman" w:hAnsi="Times New Roman" w:cs="Times New Roman"/>
          <w:sz w:val="24"/>
          <w:szCs w:val="24"/>
          <w:highlight w:val="white"/>
        </w:rPr>
        <w:t xml:space="preserve">, 2024; </w:t>
      </w:r>
      <w:proofErr w:type="spellStart"/>
      <w:r>
        <w:rPr>
          <w:rFonts w:ascii="Times New Roman" w:eastAsia="Times New Roman" w:hAnsi="Times New Roman" w:cs="Times New Roman"/>
          <w:sz w:val="24"/>
          <w:szCs w:val="24"/>
          <w:highlight w:val="white"/>
        </w:rPr>
        <w:t>Yakavets</w:t>
      </w:r>
      <w:proofErr w:type="spellEnd"/>
      <w:r>
        <w:rPr>
          <w:rFonts w:ascii="Times New Roman" w:eastAsia="Times New Roman" w:hAnsi="Times New Roman" w:cs="Times New Roman"/>
          <w:sz w:val="24"/>
          <w:szCs w:val="24"/>
          <w:highlight w:val="white"/>
        </w:rPr>
        <w:t xml:space="preserve">, 2014). Regular </w:t>
      </w:r>
      <w:r>
        <w:rPr>
          <w:rFonts w:ascii="Times New Roman" w:eastAsia="Times New Roman" w:hAnsi="Times New Roman" w:cs="Times New Roman"/>
          <w:i/>
          <w:iCs/>
          <w:sz w:val="24"/>
          <w:szCs w:val="24"/>
          <w:highlight w:val="white"/>
        </w:rPr>
        <w:t>urban public schools</w:t>
      </w:r>
      <w:r>
        <w:rPr>
          <w:rFonts w:ascii="Times New Roman" w:eastAsia="Times New Roman" w:hAnsi="Times New Roman" w:cs="Times New Roman"/>
          <w:sz w:val="24"/>
          <w:szCs w:val="24"/>
          <w:highlight w:val="white"/>
        </w:rPr>
        <w:t xml:space="preserve"> constitute the modal school type in the sample. </w:t>
      </w:r>
      <w:r>
        <w:rPr>
          <w:rFonts w:ascii="Times New Roman" w:eastAsia="Times New Roman" w:hAnsi="Times New Roman" w:cs="Times New Roman"/>
          <w:i/>
          <w:iCs/>
          <w:sz w:val="24"/>
          <w:szCs w:val="24"/>
          <w:highlight w:val="white"/>
        </w:rPr>
        <w:t>Rural public schools</w:t>
      </w:r>
      <w:r>
        <w:rPr>
          <w:rFonts w:ascii="Times New Roman" w:eastAsia="Times New Roman" w:hAnsi="Times New Roman" w:cs="Times New Roman"/>
          <w:sz w:val="24"/>
          <w:szCs w:val="24"/>
          <w:highlight w:val="white"/>
        </w:rPr>
        <w:t xml:space="preserve"> are identified using administrative geographic codes. </w:t>
      </w:r>
      <w:r>
        <w:rPr>
          <w:rFonts w:ascii="Times New Roman" w:eastAsia="Times New Roman" w:hAnsi="Times New Roman" w:cs="Times New Roman"/>
          <w:i/>
          <w:iCs/>
          <w:sz w:val="24"/>
          <w:szCs w:val="24"/>
          <w:highlight w:val="white"/>
        </w:rPr>
        <w:t>Multigrade schools</w:t>
      </w:r>
      <w:r>
        <w:rPr>
          <w:rFonts w:ascii="Times New Roman" w:eastAsia="Times New Roman" w:hAnsi="Times New Roman" w:cs="Times New Roman"/>
          <w:sz w:val="24"/>
          <w:szCs w:val="24"/>
          <w:highlight w:val="white"/>
        </w:rPr>
        <w:t xml:space="preserve"> (or ungraded schools) are defined, following legislative criteria, as schools with enrollments of fewer than 180 students. </w:t>
      </w:r>
      <w:r>
        <w:rPr>
          <w:rFonts w:ascii="Times New Roman" w:eastAsia="Times New Roman" w:hAnsi="Times New Roman" w:cs="Times New Roman"/>
          <w:i/>
          <w:iCs/>
          <w:sz w:val="24"/>
          <w:szCs w:val="24"/>
          <w:highlight w:val="white"/>
        </w:rPr>
        <w:t>Gymnasiums and lyceums</w:t>
      </w:r>
      <w:r>
        <w:rPr>
          <w:rFonts w:ascii="Times New Roman" w:eastAsia="Times New Roman" w:hAnsi="Times New Roman" w:cs="Times New Roman"/>
          <w:sz w:val="24"/>
          <w:szCs w:val="24"/>
          <w:highlight w:val="white"/>
        </w:rPr>
        <w:t xml:space="preserve"> are specialized public schools offering enhanced curricula. </w:t>
      </w:r>
      <w:r>
        <w:rPr>
          <w:rFonts w:ascii="Times New Roman" w:eastAsia="Times New Roman" w:hAnsi="Times New Roman" w:cs="Times New Roman"/>
          <w:i/>
          <w:iCs/>
          <w:sz w:val="24"/>
          <w:szCs w:val="24"/>
          <w:highlight w:val="white"/>
        </w:rPr>
        <w:t xml:space="preserve">Private schools </w:t>
      </w:r>
      <w:r>
        <w:rPr>
          <w:rFonts w:ascii="Times New Roman" w:eastAsia="Times New Roman" w:hAnsi="Times New Roman" w:cs="Times New Roman"/>
          <w:sz w:val="24"/>
          <w:szCs w:val="24"/>
          <w:highlight w:val="white"/>
        </w:rPr>
        <w:t xml:space="preserve">are those privately </w:t>
      </w:r>
      <w:r>
        <w:rPr>
          <w:rFonts w:ascii="Times New Roman" w:eastAsia="Times New Roman" w:hAnsi="Times New Roman" w:cs="Times New Roman"/>
          <w:sz w:val="24"/>
          <w:szCs w:val="24"/>
          <w:highlight w:val="white"/>
        </w:rPr>
        <w:lastRenderedPageBreak/>
        <w:t xml:space="preserve">owned and following the national curriculum. </w:t>
      </w:r>
      <w:r>
        <w:rPr>
          <w:rFonts w:ascii="Times New Roman" w:eastAsia="Times New Roman" w:hAnsi="Times New Roman" w:cs="Times New Roman"/>
          <w:i/>
          <w:iCs/>
          <w:sz w:val="24"/>
          <w:szCs w:val="24"/>
          <w:highlight w:val="white"/>
        </w:rPr>
        <w:t>International schools</w:t>
      </w:r>
      <w:r>
        <w:rPr>
          <w:rFonts w:ascii="Times New Roman" w:eastAsia="Times New Roman" w:hAnsi="Times New Roman" w:cs="Times New Roman"/>
          <w:sz w:val="24"/>
          <w:szCs w:val="24"/>
          <w:highlight w:val="white"/>
        </w:rPr>
        <w:t xml:space="preserve"> are branches of international school networks or privately owned schools following international curricula (e.g., Haileybury Almaty school). Selective schools are presented via indicators for </w:t>
      </w:r>
      <w:r>
        <w:rPr>
          <w:rFonts w:ascii="Times New Roman" w:eastAsia="Times New Roman" w:hAnsi="Times New Roman" w:cs="Times New Roman"/>
          <w:i/>
          <w:iCs/>
          <w:sz w:val="24"/>
          <w:szCs w:val="24"/>
          <w:highlight w:val="white"/>
        </w:rPr>
        <w:t>NIS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BIL</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iCs/>
          <w:sz w:val="24"/>
          <w:szCs w:val="24"/>
          <w:highlight w:val="white"/>
        </w:rPr>
        <w:t>Fizmat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iCs/>
          <w:sz w:val="24"/>
          <w:szCs w:val="24"/>
          <w:highlight w:val="white"/>
        </w:rPr>
        <w:t>IQanat</w:t>
      </w:r>
      <w:proofErr w:type="spellEnd"/>
      <w:r>
        <w:rPr>
          <w:rFonts w:ascii="Times New Roman" w:eastAsia="Times New Roman" w:hAnsi="Times New Roman" w:cs="Times New Roman"/>
          <w:i/>
          <w:iCs/>
          <w:sz w:val="24"/>
          <w:szCs w:val="24"/>
          <w:highlight w:val="white"/>
        </w:rPr>
        <w:t xml:space="preserve"> </w:t>
      </w:r>
      <w:proofErr w:type="spellStart"/>
      <w:r>
        <w:rPr>
          <w:rFonts w:ascii="Times New Roman" w:eastAsia="Times New Roman" w:hAnsi="Times New Roman" w:cs="Times New Roman"/>
          <w:i/>
          <w:iCs/>
          <w:sz w:val="24"/>
          <w:szCs w:val="24"/>
          <w:highlight w:val="white"/>
        </w:rPr>
        <w:t>Burabay</w:t>
      </w:r>
      <w:proofErr w:type="spellEnd"/>
      <w:r>
        <w:rPr>
          <w:rFonts w:ascii="Times New Roman" w:eastAsia="Times New Roman" w:hAnsi="Times New Roman" w:cs="Times New Roman"/>
          <w:i/>
          <w:iCs/>
          <w:sz w:val="24"/>
          <w:szCs w:val="24"/>
          <w:highlight w:val="white"/>
        </w:rPr>
        <w:t xml:space="preserve"> Schools</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iCs/>
          <w:sz w:val="24"/>
          <w:szCs w:val="24"/>
          <w:highlight w:val="white"/>
        </w:rPr>
        <w:t>Daryn</w:t>
      </w:r>
      <w:proofErr w:type="spellEnd"/>
      <w:r>
        <w:rPr>
          <w:rFonts w:ascii="Times New Roman" w:eastAsia="Times New Roman" w:hAnsi="Times New Roman" w:cs="Times New Roman"/>
          <w:sz w:val="24"/>
          <w:szCs w:val="24"/>
          <w:highlight w:val="white"/>
        </w:rPr>
        <w:t xml:space="preserve"> schools, and an indicator for all </w:t>
      </w:r>
      <w:r>
        <w:rPr>
          <w:rFonts w:ascii="Times New Roman" w:eastAsia="Times New Roman" w:hAnsi="Times New Roman" w:cs="Times New Roman"/>
          <w:i/>
          <w:iCs/>
          <w:sz w:val="24"/>
          <w:szCs w:val="24"/>
          <w:highlight w:val="white"/>
        </w:rPr>
        <w:t>other selective institutions</w:t>
      </w:r>
      <w:r>
        <w:rPr>
          <w:rFonts w:ascii="Times New Roman" w:eastAsia="Times New Roman" w:hAnsi="Times New Roman" w:cs="Times New Roman"/>
          <w:sz w:val="24"/>
          <w:szCs w:val="24"/>
          <w:highlight w:val="white"/>
        </w:rPr>
        <w:t xml:space="preserve">. </w:t>
      </w:r>
    </w:p>
    <w:p w14:paraId="14DDFEBC" w14:textId="77777777" w:rsidR="00C31A3B" w:rsidRDefault="00C31A3B" w:rsidP="00C31A3B">
      <w:pPr>
        <w:spacing w:line="240" w:lineRule="auto"/>
        <w:jc w:val="both"/>
        <w:rPr>
          <w:rFonts w:ascii="Times New Roman" w:eastAsia="Times New Roman" w:hAnsi="Times New Roman" w:cs="Times New Roman"/>
          <w:b/>
          <w:bCs/>
          <w:i/>
          <w:iCs/>
          <w:sz w:val="24"/>
          <w:szCs w:val="24"/>
          <w:highlight w:val="white"/>
        </w:rPr>
      </w:pPr>
    </w:p>
    <w:p w14:paraId="39DCE223" w14:textId="77777777" w:rsidR="00C31A3B" w:rsidRDefault="00000000" w:rsidP="00C31A3B">
      <w:pPr>
        <w:spacing w:line="240" w:lineRule="auto"/>
        <w:jc w:val="both"/>
        <w:rPr>
          <w:rFonts w:ascii="Times New Roman" w:eastAsia="Times New Roman" w:hAnsi="Times New Roman" w:cs="Times New Roman"/>
          <w:b/>
          <w:bCs/>
          <w:i/>
          <w:iCs/>
          <w:sz w:val="24"/>
          <w:szCs w:val="24"/>
          <w:highlight w:val="white"/>
        </w:rPr>
      </w:pPr>
      <w:r>
        <w:rPr>
          <w:rFonts w:ascii="Times New Roman" w:eastAsia="Times New Roman" w:hAnsi="Times New Roman" w:cs="Times New Roman"/>
          <w:i/>
          <w:iCs/>
          <w:sz w:val="24"/>
          <w:szCs w:val="24"/>
          <w:highlight w:val="white"/>
        </w:rPr>
        <w:t>Academic achievement</w:t>
      </w:r>
      <w:r>
        <w:rPr>
          <w:rFonts w:ascii="Times New Roman" w:eastAsia="Times New Roman" w:hAnsi="Times New Roman" w:cs="Times New Roman"/>
          <w:sz w:val="24"/>
          <w:szCs w:val="24"/>
          <w:highlight w:val="white"/>
        </w:rPr>
        <w:t xml:space="preserve"> is captured using two indicators from secondary school completion records. The first distinguishes between </w:t>
      </w:r>
      <w:r>
        <w:rPr>
          <w:rFonts w:ascii="Times New Roman" w:eastAsia="Times New Roman" w:hAnsi="Times New Roman" w:cs="Times New Roman"/>
          <w:i/>
          <w:iCs/>
          <w:sz w:val="24"/>
          <w:szCs w:val="24"/>
          <w:highlight w:val="white"/>
        </w:rPr>
        <w:t>standard high school diplomas</w:t>
      </w:r>
      <w:r>
        <w:rPr>
          <w:rFonts w:ascii="Times New Roman" w:eastAsia="Times New Roman" w:hAnsi="Times New Roman" w:cs="Times New Roman"/>
          <w:sz w:val="24"/>
          <w:szCs w:val="24"/>
          <w:highlight w:val="white"/>
        </w:rPr>
        <w:t xml:space="preserve"> and </w:t>
      </w:r>
      <w:r>
        <w:rPr>
          <w:rFonts w:ascii="Times New Roman" w:eastAsia="Times New Roman" w:hAnsi="Times New Roman" w:cs="Times New Roman"/>
          <w:i/>
          <w:iCs/>
          <w:sz w:val="24"/>
          <w:szCs w:val="24"/>
          <w:highlight w:val="white"/>
        </w:rPr>
        <w:t>diplomas with honors</w:t>
      </w:r>
      <w:r>
        <w:rPr>
          <w:rFonts w:ascii="Times New Roman" w:eastAsia="Times New Roman" w:hAnsi="Times New Roman" w:cs="Times New Roman"/>
          <w:sz w:val="24"/>
          <w:szCs w:val="24"/>
          <w:highlight w:val="white"/>
        </w:rPr>
        <w:t xml:space="preserve"> awarded for high academic performance. The second identifies recipients of the </w:t>
      </w:r>
      <w:proofErr w:type="spellStart"/>
      <w:r>
        <w:rPr>
          <w:rFonts w:ascii="Times New Roman" w:eastAsia="Times New Roman" w:hAnsi="Times New Roman" w:cs="Times New Roman"/>
          <w:i/>
          <w:iCs/>
          <w:sz w:val="24"/>
          <w:szCs w:val="24"/>
          <w:highlight w:val="white"/>
        </w:rPr>
        <w:t>Altyn</w:t>
      </w:r>
      <w:proofErr w:type="spellEnd"/>
      <w:r>
        <w:rPr>
          <w:rFonts w:ascii="Times New Roman" w:eastAsia="Times New Roman" w:hAnsi="Times New Roman" w:cs="Times New Roman"/>
          <w:i/>
          <w:iCs/>
          <w:sz w:val="24"/>
          <w:szCs w:val="24"/>
          <w:highlight w:val="white"/>
        </w:rPr>
        <w:t xml:space="preserve"> </w:t>
      </w:r>
      <w:proofErr w:type="spellStart"/>
      <w:r>
        <w:rPr>
          <w:rFonts w:ascii="Times New Roman" w:eastAsia="Times New Roman" w:hAnsi="Times New Roman" w:cs="Times New Roman"/>
          <w:i/>
          <w:iCs/>
          <w:sz w:val="24"/>
          <w:szCs w:val="24"/>
          <w:highlight w:val="white"/>
        </w:rPr>
        <w:t>Belgi</w:t>
      </w:r>
      <w:proofErr w:type="spellEnd"/>
      <w:r>
        <w:rPr>
          <w:rFonts w:ascii="Times New Roman" w:eastAsia="Times New Roman" w:hAnsi="Times New Roman" w:cs="Times New Roman"/>
          <w:sz w:val="24"/>
          <w:szCs w:val="24"/>
          <w:highlight w:val="white"/>
        </w:rPr>
        <w:t xml:space="preserve"> medal, the highest academic award in Kazakhstan’s secondary education system.</w:t>
      </w:r>
    </w:p>
    <w:p w14:paraId="3FDCBFA3" w14:textId="77777777" w:rsidR="00C31A3B" w:rsidRDefault="00C31A3B" w:rsidP="00C31A3B">
      <w:pPr>
        <w:spacing w:line="240" w:lineRule="auto"/>
        <w:jc w:val="both"/>
        <w:rPr>
          <w:rFonts w:ascii="Times New Roman" w:eastAsia="Times New Roman" w:hAnsi="Times New Roman" w:cs="Times New Roman"/>
          <w:b/>
          <w:bCs/>
          <w:i/>
          <w:iCs/>
          <w:sz w:val="24"/>
          <w:szCs w:val="24"/>
          <w:highlight w:val="white"/>
        </w:rPr>
      </w:pPr>
    </w:p>
    <w:p w14:paraId="47C844F6" w14:textId="77777777" w:rsidR="00C31A3B" w:rsidRDefault="00000000" w:rsidP="00C31A3B">
      <w:pPr>
        <w:spacing w:line="240" w:lineRule="auto"/>
        <w:jc w:val="both"/>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t xml:space="preserve">Gender is captured using an indicator variable for </w:t>
      </w:r>
      <w:r>
        <w:rPr>
          <w:rFonts w:ascii="Times New Roman" w:eastAsia="Times New Roman" w:hAnsi="Times New Roman" w:cs="Times New Roman"/>
          <w:i/>
          <w:iCs/>
          <w:sz w:val="24"/>
          <w:szCs w:val="24"/>
          <w:highlight w:val="white"/>
        </w:rPr>
        <w:t xml:space="preserve">female </w:t>
      </w:r>
      <w:r>
        <w:rPr>
          <w:rFonts w:ascii="Times New Roman" w:eastAsia="Times New Roman" w:hAnsi="Times New Roman" w:cs="Times New Roman"/>
          <w:sz w:val="24"/>
          <w:szCs w:val="24"/>
          <w:highlight w:val="white"/>
        </w:rPr>
        <w:t xml:space="preserve">students. </w:t>
      </w:r>
      <w:r>
        <w:rPr>
          <w:rFonts w:ascii="Times New Roman" w:eastAsia="Times New Roman" w:hAnsi="Times New Roman" w:cs="Times New Roman"/>
          <w:i/>
          <w:iCs/>
          <w:sz w:val="24"/>
          <w:szCs w:val="24"/>
          <w:highlight w:val="white"/>
        </w:rPr>
        <w:t>Language of instruction</w:t>
      </w:r>
      <w:r>
        <w:rPr>
          <w:rFonts w:ascii="Times New Roman" w:eastAsia="Times New Roman" w:hAnsi="Times New Roman" w:cs="Times New Roman"/>
          <w:sz w:val="24"/>
          <w:szCs w:val="24"/>
          <w:highlight w:val="white"/>
        </w:rPr>
        <w:t xml:space="preserve"> is operationalized through indicators distinguishing </w:t>
      </w:r>
      <w:r>
        <w:rPr>
          <w:rFonts w:ascii="Times New Roman" w:eastAsia="Times New Roman" w:hAnsi="Times New Roman" w:cs="Times New Roman"/>
          <w:i/>
          <w:iCs/>
          <w:sz w:val="24"/>
          <w:szCs w:val="24"/>
          <w:highlight w:val="white"/>
        </w:rPr>
        <w:t>Kazakh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Russian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English</w:t>
      </w:r>
      <w:r>
        <w:rPr>
          <w:rFonts w:ascii="Times New Roman" w:eastAsia="Times New Roman" w:hAnsi="Times New Roman" w:cs="Times New Roman"/>
          <w:sz w:val="24"/>
          <w:szCs w:val="24"/>
          <w:highlight w:val="white"/>
        </w:rPr>
        <w:t xml:space="preserve">, and </w:t>
      </w:r>
      <w:r>
        <w:rPr>
          <w:rFonts w:ascii="Times New Roman" w:eastAsia="Times New Roman" w:hAnsi="Times New Roman" w:cs="Times New Roman"/>
          <w:i/>
          <w:iCs/>
          <w:sz w:val="24"/>
          <w:szCs w:val="24"/>
          <w:highlight w:val="white"/>
        </w:rPr>
        <w:t>other languages of instruction</w:t>
      </w:r>
      <w:r>
        <w:rPr>
          <w:rFonts w:ascii="Times New Roman" w:eastAsia="Times New Roman" w:hAnsi="Times New Roman" w:cs="Times New Roman"/>
          <w:sz w:val="24"/>
          <w:szCs w:val="24"/>
          <w:highlight w:val="white"/>
        </w:rPr>
        <w:t>.</w:t>
      </w:r>
    </w:p>
    <w:p w14:paraId="4D725C70" w14:textId="77777777" w:rsidR="00C31A3B" w:rsidRDefault="00C31A3B" w:rsidP="00C31A3B">
      <w:pPr>
        <w:spacing w:line="240" w:lineRule="auto"/>
        <w:jc w:val="both"/>
        <w:rPr>
          <w:rFonts w:ascii="Times New Roman" w:eastAsia="Times New Roman" w:hAnsi="Times New Roman" w:cs="Times New Roman"/>
          <w:b/>
          <w:bCs/>
          <w:i/>
          <w:iCs/>
          <w:sz w:val="24"/>
          <w:szCs w:val="24"/>
          <w:highlight w:val="white"/>
        </w:rPr>
      </w:pPr>
    </w:p>
    <w:p w14:paraId="3D4BB153" w14:textId="77777777" w:rsidR="00C31A3B" w:rsidRDefault="00000000" w:rsidP="00C31A3B">
      <w:pPr>
        <w:spacing w:line="240" w:lineRule="auto"/>
        <w:jc w:val="both"/>
        <w:rPr>
          <w:rFonts w:ascii="Times New Roman" w:eastAsia="Times New Roman" w:hAnsi="Times New Roman" w:cs="Times New Roman"/>
          <w:b/>
          <w:bCs/>
          <w:i/>
          <w:iCs/>
          <w:sz w:val="24"/>
          <w:szCs w:val="24"/>
          <w:highlight w:val="white"/>
        </w:rPr>
      </w:pPr>
      <w:r>
        <w:rPr>
          <w:rFonts w:ascii="Times New Roman" w:eastAsia="Times New Roman" w:hAnsi="Times New Roman" w:cs="Times New Roman"/>
          <w:i/>
          <w:iCs/>
          <w:sz w:val="24"/>
          <w:szCs w:val="24"/>
          <w:highlight w:val="white"/>
        </w:rPr>
        <w:t>Family socioeconomic status</w:t>
      </w:r>
      <w:r>
        <w:rPr>
          <w:rFonts w:ascii="Times New Roman" w:eastAsia="Times New Roman" w:hAnsi="Times New Roman" w:cs="Times New Roman"/>
          <w:sz w:val="24"/>
          <w:szCs w:val="24"/>
          <w:highlight w:val="white"/>
        </w:rPr>
        <w:t xml:space="preserve"> (SES) is measured using a set of binary variables reflecting household resources, following international approaches that conceptualize SES as a composite construct rather than a single indicator (OECD, 2024). These include receipt of government-provided, means-tested </w:t>
      </w:r>
      <w:r>
        <w:rPr>
          <w:rFonts w:ascii="Times New Roman" w:eastAsia="Times New Roman" w:hAnsi="Times New Roman" w:cs="Times New Roman"/>
          <w:i/>
          <w:iCs/>
          <w:sz w:val="24"/>
          <w:szCs w:val="24"/>
          <w:highlight w:val="white"/>
        </w:rPr>
        <w:t>social assistance,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orphan status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access to high-speed internet at home</w:t>
      </w:r>
      <w:r>
        <w:rPr>
          <w:rFonts w:ascii="Times New Roman" w:eastAsia="Times New Roman" w:hAnsi="Times New Roman" w:cs="Times New Roman"/>
          <w:sz w:val="24"/>
          <w:szCs w:val="24"/>
          <w:highlight w:val="white"/>
        </w:rPr>
        <w:t xml:space="preserve">, and </w:t>
      </w:r>
      <w:r>
        <w:rPr>
          <w:rFonts w:ascii="Times New Roman" w:eastAsia="Times New Roman" w:hAnsi="Times New Roman" w:cs="Times New Roman"/>
          <w:i/>
          <w:iCs/>
          <w:sz w:val="24"/>
          <w:szCs w:val="24"/>
          <w:highlight w:val="white"/>
        </w:rPr>
        <w:t>ownership of digital devices</w:t>
      </w:r>
      <w:r>
        <w:rPr>
          <w:rFonts w:ascii="Times New Roman" w:eastAsia="Times New Roman" w:hAnsi="Times New Roman" w:cs="Times New Roman"/>
          <w:sz w:val="24"/>
          <w:szCs w:val="24"/>
          <w:highlight w:val="white"/>
        </w:rPr>
        <w:t xml:space="preserve"> (smartphones, computers, laptops, tablets).</w:t>
      </w:r>
      <w:r>
        <w:rPr>
          <w:rFonts w:ascii="Times New Roman" w:eastAsia="Times New Roman" w:hAnsi="Times New Roman" w:cs="Times New Roman"/>
          <w:sz w:val="24"/>
          <w:szCs w:val="24"/>
          <w:highlight w:val="white"/>
          <w:vertAlign w:val="superscript"/>
        </w:rPr>
        <w:footnoteReference w:id="9"/>
      </w:r>
    </w:p>
    <w:p w14:paraId="2AD2DA85" w14:textId="77777777" w:rsidR="00C31A3B" w:rsidRDefault="00000000" w:rsidP="00C31A3B">
      <w:pPr>
        <w:spacing w:line="240" w:lineRule="auto"/>
        <w:jc w:val="both"/>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t xml:space="preserve">School-level predictors include a </w:t>
      </w:r>
      <w:r>
        <w:rPr>
          <w:rFonts w:ascii="Times New Roman" w:eastAsia="Times New Roman" w:hAnsi="Times New Roman" w:cs="Times New Roman"/>
          <w:i/>
          <w:iCs/>
          <w:sz w:val="24"/>
          <w:szCs w:val="24"/>
          <w:highlight w:val="white"/>
        </w:rPr>
        <w:t>teacher quality index</w:t>
      </w:r>
      <w:r>
        <w:rPr>
          <w:rFonts w:ascii="Times New Roman" w:eastAsia="Times New Roman" w:hAnsi="Times New Roman" w:cs="Times New Roman"/>
          <w:sz w:val="24"/>
          <w:szCs w:val="24"/>
          <w:highlight w:val="white"/>
        </w:rPr>
        <w:t xml:space="preserve"> measured as the share of highly qualified and experienced teachers among total teaching staff. Additional predictors capture </w:t>
      </w:r>
      <w:r>
        <w:rPr>
          <w:rFonts w:ascii="Times New Roman" w:eastAsia="Times New Roman" w:hAnsi="Times New Roman" w:cs="Times New Roman"/>
          <w:i/>
          <w:iCs/>
          <w:sz w:val="24"/>
          <w:szCs w:val="24"/>
          <w:highlight w:val="white"/>
        </w:rPr>
        <w:t>average class size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total student enrollment</w:t>
      </w:r>
      <w:r>
        <w:rPr>
          <w:rFonts w:ascii="Times New Roman" w:eastAsia="Times New Roman" w:hAnsi="Times New Roman" w:cs="Times New Roman"/>
          <w:sz w:val="24"/>
          <w:szCs w:val="24"/>
          <w:highlight w:val="white"/>
        </w:rPr>
        <w:t xml:space="preserve">, and </w:t>
      </w:r>
      <w:r>
        <w:rPr>
          <w:rFonts w:ascii="Times New Roman" w:eastAsia="Times New Roman" w:hAnsi="Times New Roman" w:cs="Times New Roman"/>
          <w:i/>
          <w:iCs/>
          <w:sz w:val="24"/>
          <w:szCs w:val="24"/>
          <w:highlight w:val="white"/>
        </w:rPr>
        <w:t>total number of teachers</w:t>
      </w:r>
      <w:r>
        <w:rPr>
          <w:rFonts w:ascii="Times New Roman" w:eastAsia="Times New Roman" w:hAnsi="Times New Roman" w:cs="Times New Roman"/>
          <w:sz w:val="24"/>
          <w:szCs w:val="24"/>
          <w:highlight w:val="white"/>
        </w:rPr>
        <w:t>, which together proxy school size and instructional capacity.</w:t>
      </w:r>
    </w:p>
    <w:p w14:paraId="40E06819" w14:textId="77777777" w:rsidR="00C31A3B" w:rsidRDefault="00C31A3B" w:rsidP="00C31A3B">
      <w:pPr>
        <w:spacing w:line="240" w:lineRule="auto"/>
        <w:jc w:val="both"/>
        <w:rPr>
          <w:rFonts w:ascii="Times New Roman" w:eastAsia="Times New Roman" w:hAnsi="Times New Roman" w:cs="Times New Roman"/>
          <w:b/>
          <w:bCs/>
          <w:i/>
          <w:iCs/>
          <w:sz w:val="24"/>
          <w:szCs w:val="24"/>
          <w:highlight w:val="white"/>
        </w:rPr>
      </w:pPr>
    </w:p>
    <w:p w14:paraId="6C23D989" w14:textId="7C064C63" w:rsidR="004C7857" w:rsidRDefault="00000000" w:rsidP="00C31A3B">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Geographic variation is captured using indicators for Kazakhstan’s macro-regions (</w:t>
      </w:r>
      <w:r>
        <w:rPr>
          <w:rFonts w:ascii="Times New Roman" w:eastAsia="Times New Roman" w:hAnsi="Times New Roman" w:cs="Times New Roman"/>
          <w:i/>
          <w:iCs/>
          <w:sz w:val="24"/>
          <w:szCs w:val="24"/>
          <w:highlight w:val="white"/>
        </w:rPr>
        <w:t>North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South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East</w:t>
      </w:r>
      <w:r>
        <w:rPr>
          <w:rFonts w:ascii="Times New Roman" w:eastAsia="Times New Roman" w:hAnsi="Times New Roman" w:cs="Times New Roman"/>
          <w:sz w:val="24"/>
          <w:szCs w:val="24"/>
          <w:highlight w:val="white"/>
        </w:rPr>
        <w:t xml:space="preserve">, and </w:t>
      </w:r>
      <w:r>
        <w:rPr>
          <w:rFonts w:ascii="Times New Roman" w:eastAsia="Times New Roman" w:hAnsi="Times New Roman" w:cs="Times New Roman"/>
          <w:i/>
          <w:iCs/>
          <w:sz w:val="24"/>
          <w:szCs w:val="24"/>
          <w:highlight w:val="white"/>
        </w:rPr>
        <w:t>West</w:t>
      </w:r>
      <w:r>
        <w:rPr>
          <w:rFonts w:ascii="Times New Roman" w:eastAsia="Times New Roman" w:hAnsi="Times New Roman" w:cs="Times New Roman"/>
          <w:sz w:val="24"/>
          <w:szCs w:val="24"/>
          <w:highlight w:val="white"/>
        </w:rPr>
        <w:t xml:space="preserve">), as well as additional indicators for </w:t>
      </w:r>
      <w:r>
        <w:rPr>
          <w:rFonts w:ascii="Times New Roman" w:eastAsia="Times New Roman" w:hAnsi="Times New Roman" w:cs="Times New Roman"/>
          <w:i/>
          <w:iCs/>
          <w:sz w:val="24"/>
          <w:szCs w:val="24"/>
          <w:highlight w:val="white"/>
        </w:rPr>
        <w:t>Astana</w:t>
      </w:r>
      <w:r>
        <w:rPr>
          <w:rFonts w:ascii="Times New Roman" w:eastAsia="Times New Roman" w:hAnsi="Times New Roman" w:cs="Times New Roman"/>
          <w:sz w:val="24"/>
          <w:szCs w:val="24"/>
          <w:highlight w:val="white"/>
        </w:rPr>
        <w:t xml:space="preserve"> (the capital city) and </w:t>
      </w:r>
      <w:r>
        <w:rPr>
          <w:rFonts w:ascii="Times New Roman" w:eastAsia="Times New Roman" w:hAnsi="Times New Roman" w:cs="Times New Roman"/>
          <w:i/>
          <w:iCs/>
          <w:sz w:val="24"/>
          <w:szCs w:val="24"/>
          <w:highlight w:val="white"/>
        </w:rPr>
        <w:t>Almaty</w:t>
      </w:r>
      <w:r>
        <w:rPr>
          <w:rFonts w:ascii="Times New Roman" w:eastAsia="Times New Roman" w:hAnsi="Times New Roman" w:cs="Times New Roman"/>
          <w:sz w:val="24"/>
          <w:szCs w:val="24"/>
          <w:highlight w:val="white"/>
        </w:rPr>
        <w:t xml:space="preserve"> (the largest city).</w:t>
      </w:r>
    </w:p>
    <w:p w14:paraId="18AD72D8" w14:textId="77777777" w:rsidR="00C31A3B" w:rsidRPr="00C31A3B" w:rsidRDefault="00C31A3B" w:rsidP="00C31A3B">
      <w:pPr>
        <w:spacing w:line="240" w:lineRule="auto"/>
        <w:jc w:val="both"/>
        <w:rPr>
          <w:rFonts w:ascii="Times New Roman" w:eastAsia="Times New Roman" w:hAnsi="Times New Roman" w:cs="Times New Roman"/>
          <w:b/>
          <w:bCs/>
          <w:i/>
          <w:iCs/>
          <w:sz w:val="24"/>
          <w:szCs w:val="24"/>
          <w:highlight w:val="white"/>
        </w:rPr>
      </w:pPr>
    </w:p>
    <w:p w14:paraId="259894F9" w14:textId="77777777" w:rsidR="00C31A3B" w:rsidRDefault="00000000" w:rsidP="00C31A3B">
      <w:pPr>
        <w:spacing w:line="240" w:lineRule="auto"/>
        <w:jc w:val="both"/>
        <w:rPr>
          <w:rFonts w:ascii="Times New Roman" w:eastAsia="Times New Roman" w:hAnsi="Times New Roman" w:cs="Times New Roman"/>
          <w:b/>
          <w:bCs/>
          <w:i/>
          <w:iCs/>
          <w:sz w:val="24"/>
          <w:szCs w:val="24"/>
          <w:highlight w:val="white"/>
        </w:rPr>
      </w:pPr>
      <w:r w:rsidRPr="00C31A3B">
        <w:rPr>
          <w:rFonts w:ascii="Times New Roman" w:eastAsia="Times New Roman" w:hAnsi="Times New Roman" w:cs="Times New Roman"/>
          <w:b/>
          <w:bCs/>
          <w:i/>
          <w:iCs/>
          <w:sz w:val="24"/>
          <w:szCs w:val="24"/>
          <w:highlight w:val="white"/>
        </w:rPr>
        <w:t>Empirical Specification</w:t>
      </w:r>
    </w:p>
    <w:p w14:paraId="0272E43F" w14:textId="77777777" w:rsidR="00C31A3B" w:rsidRDefault="00C31A3B" w:rsidP="00C31A3B">
      <w:pPr>
        <w:spacing w:line="240" w:lineRule="auto"/>
        <w:jc w:val="both"/>
        <w:rPr>
          <w:rFonts w:ascii="Times New Roman" w:eastAsia="Times New Roman" w:hAnsi="Times New Roman" w:cs="Times New Roman"/>
          <w:b/>
          <w:bCs/>
          <w:i/>
          <w:iCs/>
          <w:sz w:val="24"/>
          <w:szCs w:val="24"/>
          <w:highlight w:val="white"/>
        </w:rPr>
      </w:pPr>
    </w:p>
    <w:p w14:paraId="348887DE" w14:textId="6997DFD5" w:rsidR="004C7857" w:rsidRPr="00C31A3B" w:rsidRDefault="00000000" w:rsidP="00C31A3B">
      <w:pPr>
        <w:spacing w:line="240" w:lineRule="auto"/>
        <w:jc w:val="both"/>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t>The analysis employs a logistic regression model estimated via maximum likelihood (</w:t>
      </w:r>
      <w:proofErr w:type="spellStart"/>
      <w:r>
        <w:rPr>
          <w:rFonts w:ascii="Times New Roman" w:eastAsia="Times New Roman" w:hAnsi="Times New Roman" w:cs="Times New Roman"/>
          <w:sz w:val="24"/>
          <w:szCs w:val="24"/>
          <w:highlight w:val="white"/>
        </w:rPr>
        <w:t>Agresti</w:t>
      </w:r>
      <w:proofErr w:type="spellEnd"/>
      <w:r>
        <w:rPr>
          <w:rFonts w:ascii="Times New Roman" w:eastAsia="Times New Roman" w:hAnsi="Times New Roman" w:cs="Times New Roman"/>
          <w:sz w:val="24"/>
          <w:szCs w:val="24"/>
          <w:highlight w:val="white"/>
        </w:rPr>
        <w:t xml:space="preserve"> &amp; Finlay, 2009; Angrist &amp; </w:t>
      </w:r>
      <w:proofErr w:type="spellStart"/>
      <w:r>
        <w:rPr>
          <w:rFonts w:ascii="Times New Roman" w:eastAsia="Times New Roman" w:hAnsi="Times New Roman" w:cs="Times New Roman"/>
          <w:sz w:val="24"/>
          <w:szCs w:val="24"/>
          <w:highlight w:val="white"/>
        </w:rPr>
        <w:t>Pischke</w:t>
      </w:r>
      <w:proofErr w:type="spellEnd"/>
      <w:r>
        <w:rPr>
          <w:rFonts w:ascii="Times New Roman" w:eastAsia="Times New Roman" w:hAnsi="Times New Roman" w:cs="Times New Roman"/>
          <w:sz w:val="24"/>
          <w:szCs w:val="24"/>
          <w:highlight w:val="white"/>
        </w:rPr>
        <w:t xml:space="preserve">, 2009). For student </w:t>
      </w:r>
      <w:proofErr w:type="spellStart"/>
      <w:r>
        <w:rPr>
          <w:rFonts w:ascii="Times New Roman" w:eastAsia="Times New Roman" w:hAnsi="Times New Roman" w:cs="Times New Roman"/>
          <w:i/>
          <w:iCs/>
          <w:sz w:val="24"/>
          <w:szCs w:val="24"/>
          <w:highlight w:val="white"/>
        </w:rPr>
        <w:t>i</w:t>
      </w:r>
      <w:proofErr w:type="spellEnd"/>
      <w:r>
        <w:rPr>
          <w:rFonts w:ascii="Times New Roman" w:eastAsia="Times New Roman" w:hAnsi="Times New Roman" w:cs="Times New Roman"/>
          <w:sz w:val="24"/>
          <w:szCs w:val="24"/>
          <w:highlight w:val="white"/>
        </w:rPr>
        <w:t xml:space="preserve"> attending school </w:t>
      </w:r>
      <w:r>
        <w:rPr>
          <w:rFonts w:ascii="Times New Roman" w:eastAsia="Times New Roman" w:hAnsi="Times New Roman" w:cs="Times New Roman"/>
          <w:i/>
          <w:iCs/>
          <w:sz w:val="24"/>
          <w:szCs w:val="24"/>
          <w:highlight w:val="white"/>
        </w:rPr>
        <w:t>s</w:t>
      </w:r>
      <w:r>
        <w:rPr>
          <w:rFonts w:ascii="Times New Roman" w:eastAsia="Times New Roman" w:hAnsi="Times New Roman" w:cs="Times New Roman"/>
          <w:sz w:val="24"/>
          <w:szCs w:val="24"/>
          <w:highlight w:val="white"/>
        </w:rPr>
        <w:t>, the model is specified as:</w:t>
      </w:r>
    </w:p>
    <w:p w14:paraId="74D11122" w14:textId="77777777" w:rsidR="004C7857" w:rsidRDefault="004C7857">
      <w:pPr>
        <w:spacing w:line="240" w:lineRule="auto"/>
        <w:ind w:firstLine="720"/>
        <w:jc w:val="both"/>
        <w:rPr>
          <w:rFonts w:ascii="Times New Roman" w:eastAsia="Times New Roman" w:hAnsi="Times New Roman" w:cs="Times New Roman"/>
          <w:sz w:val="24"/>
          <w:szCs w:val="24"/>
          <w:highlight w:val="white"/>
        </w:rPr>
      </w:pPr>
    </w:p>
    <w:p w14:paraId="138B3C1E" w14:textId="77777777" w:rsidR="004C7857" w:rsidRDefault="00000000">
      <w:pPr>
        <w:spacing w:line="240" w:lineRule="auto"/>
        <w:jc w:val="center"/>
        <w:rPr>
          <w:rFonts w:ascii="Times New Roman" w:eastAsia="Times New Roman" w:hAnsi="Times New Roman" w:cs="Times New Roman"/>
          <w:sz w:val="24"/>
          <w:szCs w:val="24"/>
          <w:highlight w:val="white"/>
        </w:rPr>
      </w:pPr>
      <w:r>
        <w:rPr>
          <w:rFonts w:ascii="Cardo" w:eastAsia="Cardo" w:hAnsi="Cardo" w:cs="Cardo"/>
          <w:i/>
          <w:iCs/>
          <w:sz w:val="24"/>
          <w:szCs w:val="24"/>
          <w:highlight w:val="white"/>
        </w:rPr>
        <w:t>ln(πᵢ / (1 − πᵢ)) = α</w:t>
      </w:r>
      <w:r>
        <w:rPr>
          <w:rFonts w:ascii="Times New Roman" w:eastAsia="Times New Roman" w:hAnsi="Times New Roman" w:cs="Times New Roman"/>
          <w:i/>
          <w:iCs/>
          <w:sz w:val="24"/>
          <w:szCs w:val="24"/>
          <w:highlight w:val="white"/>
          <w:vertAlign w:val="subscript"/>
        </w:rPr>
        <w:t>0</w:t>
      </w:r>
      <w:r>
        <w:rPr>
          <w:rFonts w:ascii="Times New Roman" w:eastAsia="Times New Roman" w:hAnsi="Times New Roman" w:cs="Times New Roman"/>
          <w:i/>
          <w:iCs/>
          <w:sz w:val="24"/>
          <w:szCs w:val="24"/>
          <w:highlight w:val="white"/>
        </w:rPr>
        <w:t xml:space="preserve"> + β</w:t>
      </w:r>
      <w:r>
        <w:rPr>
          <w:rFonts w:ascii="Times New Roman" w:eastAsia="Times New Roman" w:hAnsi="Times New Roman" w:cs="Times New Roman"/>
          <w:b/>
          <w:bCs/>
          <w:i/>
          <w:iCs/>
          <w:sz w:val="24"/>
          <w:szCs w:val="24"/>
          <w:highlight w:val="white"/>
        </w:rPr>
        <w:t>X</w:t>
      </w:r>
      <w:r>
        <w:rPr>
          <w:rFonts w:ascii="Times New Roman" w:eastAsia="Times New Roman" w:hAnsi="Times New Roman" w:cs="Times New Roman"/>
          <w:i/>
          <w:iCs/>
          <w:sz w:val="24"/>
          <w:szCs w:val="24"/>
          <w:highlight w:val="white"/>
        </w:rPr>
        <w:t xml:space="preserve"> + εᵢ</w:t>
      </w:r>
    </w:p>
    <w:p w14:paraId="5F8DFAA0" w14:textId="77777777" w:rsidR="004C7857" w:rsidRDefault="004C7857">
      <w:pPr>
        <w:spacing w:line="240" w:lineRule="auto"/>
        <w:jc w:val="both"/>
        <w:rPr>
          <w:rFonts w:ascii="Times New Roman" w:eastAsia="Times New Roman" w:hAnsi="Times New Roman" w:cs="Times New Roman"/>
          <w:sz w:val="24"/>
          <w:szCs w:val="24"/>
          <w:highlight w:val="white"/>
        </w:rPr>
      </w:pPr>
    </w:p>
    <w:p w14:paraId="067C2787" w14:textId="77777777" w:rsidR="00C31A3B" w:rsidRDefault="00000000" w:rsidP="00C31A3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where πᵢ = P(NUᵢ = 1 | Xᵢ) represents the probability that student </w:t>
      </w:r>
      <w:proofErr w:type="spellStart"/>
      <w:r>
        <w:rPr>
          <w:rFonts w:ascii="Times New Roman" w:eastAsia="Times New Roman" w:hAnsi="Times New Roman" w:cs="Times New Roman"/>
          <w:i/>
          <w:iCs/>
          <w:sz w:val="24"/>
          <w:szCs w:val="24"/>
          <w:highlight w:val="white"/>
        </w:rPr>
        <w:t>i</w:t>
      </w:r>
      <w:proofErr w:type="spellEnd"/>
      <w:r>
        <w:rPr>
          <w:rFonts w:ascii="Times New Roman" w:eastAsia="Times New Roman" w:hAnsi="Times New Roman" w:cs="Times New Roman"/>
          <w:sz w:val="24"/>
          <w:szCs w:val="24"/>
          <w:highlight w:val="white"/>
        </w:rPr>
        <w:t xml:space="preserve"> enrolls at Nazarbayev University and </w:t>
      </w:r>
      <w:r>
        <w:rPr>
          <w:rFonts w:ascii="Times New Roman" w:eastAsia="Times New Roman" w:hAnsi="Times New Roman" w:cs="Times New Roman"/>
          <w:b/>
          <w:bCs/>
          <w:sz w:val="24"/>
          <w:szCs w:val="24"/>
          <w:highlight w:val="white"/>
        </w:rPr>
        <w:t xml:space="preserve">X </w:t>
      </w:r>
      <w:r>
        <w:rPr>
          <w:rFonts w:ascii="Times New Roman" w:eastAsia="Times New Roman" w:hAnsi="Times New Roman" w:cs="Times New Roman"/>
          <w:sz w:val="24"/>
          <w:szCs w:val="24"/>
          <w:highlight w:val="white"/>
        </w:rPr>
        <w:t>is the full vector of covariates</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 xml:space="preserve">described above. Standard errors are clustered at the school level to account for within-school correlation in students’ outcomes. </w:t>
      </w:r>
    </w:p>
    <w:p w14:paraId="30C6BB0A" w14:textId="77777777" w:rsidR="00C31A3B" w:rsidRDefault="00C31A3B" w:rsidP="00C31A3B">
      <w:pPr>
        <w:spacing w:line="240" w:lineRule="auto"/>
        <w:rPr>
          <w:rFonts w:ascii="Times New Roman" w:eastAsia="Times New Roman" w:hAnsi="Times New Roman" w:cs="Times New Roman"/>
          <w:sz w:val="24"/>
          <w:szCs w:val="24"/>
          <w:highlight w:val="white"/>
        </w:rPr>
      </w:pPr>
    </w:p>
    <w:p w14:paraId="50FD77B7" w14:textId="530240E7" w:rsidR="004C7857" w:rsidRDefault="00000000" w:rsidP="00C31A3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 facilitate interpretation, for each coefficient </w:t>
      </w:r>
      <w:r>
        <w:rPr>
          <w:rFonts w:ascii="Times New Roman" w:eastAsia="Times New Roman" w:hAnsi="Times New Roman" w:cs="Times New Roman"/>
          <w:i/>
          <w:iCs/>
          <w:sz w:val="24"/>
          <w:szCs w:val="24"/>
          <w:highlight w:val="white"/>
        </w:rPr>
        <w:t>β</w:t>
      </w:r>
      <w:r>
        <w:rPr>
          <w:rFonts w:ascii="Times New Roman" w:eastAsia="Times New Roman" w:hAnsi="Times New Roman" w:cs="Times New Roman"/>
          <w:sz w:val="24"/>
          <w:szCs w:val="24"/>
          <w:highlight w:val="white"/>
        </w:rPr>
        <w:t xml:space="preserve"> associated with the predictors, we report average marginal effects (AMEs) rather than log-odds coefficients. AMEs represent the average change in the predicted probability of NU enrollment associated with a one-unit change in each predictor (</w:t>
      </w:r>
      <w:proofErr w:type="spellStart"/>
      <w:r>
        <w:rPr>
          <w:rFonts w:ascii="Times New Roman" w:eastAsia="Times New Roman" w:hAnsi="Times New Roman" w:cs="Times New Roman"/>
          <w:sz w:val="24"/>
          <w:szCs w:val="24"/>
          <w:highlight w:val="white"/>
        </w:rPr>
        <w:t>Agresti</w:t>
      </w:r>
      <w:proofErr w:type="spellEnd"/>
      <w:r>
        <w:rPr>
          <w:rFonts w:ascii="Times New Roman" w:eastAsia="Times New Roman" w:hAnsi="Times New Roman" w:cs="Times New Roman"/>
          <w:sz w:val="24"/>
          <w:szCs w:val="24"/>
          <w:highlight w:val="white"/>
        </w:rPr>
        <w:t xml:space="preserve"> &amp; Finlay, 2009; Angrist &amp; </w:t>
      </w:r>
      <w:proofErr w:type="spellStart"/>
      <w:r>
        <w:rPr>
          <w:rFonts w:ascii="Times New Roman" w:eastAsia="Times New Roman" w:hAnsi="Times New Roman" w:cs="Times New Roman"/>
          <w:sz w:val="24"/>
          <w:szCs w:val="24"/>
          <w:highlight w:val="white"/>
        </w:rPr>
        <w:t>Pischke</w:t>
      </w:r>
      <w:proofErr w:type="spellEnd"/>
      <w:r>
        <w:rPr>
          <w:rFonts w:ascii="Times New Roman" w:eastAsia="Times New Roman" w:hAnsi="Times New Roman" w:cs="Times New Roman"/>
          <w:sz w:val="24"/>
          <w:szCs w:val="24"/>
          <w:highlight w:val="white"/>
        </w:rPr>
        <w:t xml:space="preserve">, 2009). This approach </w:t>
      </w:r>
      <w:r>
        <w:rPr>
          <w:rFonts w:ascii="Times New Roman" w:eastAsia="Times New Roman" w:hAnsi="Times New Roman" w:cs="Times New Roman"/>
          <w:sz w:val="24"/>
          <w:szCs w:val="24"/>
          <w:highlight w:val="white"/>
        </w:rPr>
        <w:lastRenderedPageBreak/>
        <w:t>provides coefficients directly interpretable as percentage-point changes in enrollment probability, analogous to linear probability model coefficients but with the empirical advantages of the logistic specification.</w:t>
      </w:r>
      <w:r>
        <w:rPr>
          <w:rFonts w:ascii="Times New Roman" w:eastAsia="Times New Roman" w:hAnsi="Times New Roman" w:cs="Times New Roman"/>
          <w:sz w:val="24"/>
          <w:szCs w:val="24"/>
          <w:highlight w:val="white"/>
          <w:vertAlign w:val="superscript"/>
        </w:rPr>
        <w:footnoteReference w:id="10"/>
      </w:r>
      <w:r>
        <w:rPr>
          <w:rFonts w:ascii="Times New Roman" w:eastAsia="Times New Roman" w:hAnsi="Times New Roman" w:cs="Times New Roman"/>
          <w:sz w:val="24"/>
          <w:szCs w:val="24"/>
          <w:highlight w:val="white"/>
        </w:rPr>
        <w:t xml:space="preserve"> </w:t>
      </w:r>
    </w:p>
    <w:p w14:paraId="1880C8B2" w14:textId="77777777" w:rsidR="00C31A3B" w:rsidRPr="00C31A3B" w:rsidRDefault="00C31A3B" w:rsidP="00C31A3B">
      <w:pPr>
        <w:spacing w:line="240" w:lineRule="auto"/>
        <w:rPr>
          <w:rFonts w:ascii="Times New Roman" w:eastAsia="Times New Roman" w:hAnsi="Times New Roman" w:cs="Times New Roman"/>
          <w:sz w:val="24"/>
          <w:szCs w:val="24"/>
          <w:highlight w:val="white"/>
        </w:rPr>
      </w:pPr>
    </w:p>
    <w:p w14:paraId="26E68957" w14:textId="1FA001EC" w:rsidR="004C7857" w:rsidRDefault="00000000" w:rsidP="00C31A3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Results</w:t>
      </w:r>
    </w:p>
    <w:p w14:paraId="5876897C" w14:textId="77777777" w:rsidR="00C31A3B" w:rsidRDefault="00C31A3B" w:rsidP="00C31A3B">
      <w:pPr>
        <w:spacing w:line="240" w:lineRule="auto"/>
        <w:rPr>
          <w:rFonts w:ascii="Times New Roman" w:eastAsia="Times New Roman" w:hAnsi="Times New Roman" w:cs="Times New Roman"/>
          <w:b/>
          <w:bCs/>
          <w:sz w:val="24"/>
          <w:szCs w:val="24"/>
          <w:highlight w:val="white"/>
        </w:rPr>
      </w:pPr>
    </w:p>
    <w:p w14:paraId="4C0AC6F1" w14:textId="77777777" w:rsidR="00C31A3B" w:rsidRDefault="00000000" w:rsidP="00C31A3B">
      <w:pPr>
        <w:spacing w:line="240" w:lineRule="auto"/>
        <w:jc w:val="both"/>
        <w:rPr>
          <w:rFonts w:ascii="Times New Roman" w:eastAsia="Times New Roman" w:hAnsi="Times New Roman" w:cs="Times New Roman"/>
          <w:b/>
          <w:bCs/>
          <w:i/>
          <w:iCs/>
          <w:sz w:val="24"/>
          <w:szCs w:val="24"/>
          <w:highlight w:val="white"/>
        </w:rPr>
      </w:pPr>
      <w:r w:rsidRPr="00C31A3B">
        <w:rPr>
          <w:rFonts w:ascii="Times New Roman" w:eastAsia="Times New Roman" w:hAnsi="Times New Roman" w:cs="Times New Roman"/>
          <w:b/>
          <w:bCs/>
          <w:i/>
          <w:iCs/>
          <w:sz w:val="24"/>
          <w:szCs w:val="24"/>
          <w:highlight w:val="white"/>
        </w:rPr>
        <w:t>Descriptive Statistics</w:t>
      </w:r>
    </w:p>
    <w:p w14:paraId="22F3C1D9" w14:textId="77777777" w:rsidR="00C31A3B" w:rsidRDefault="00C31A3B" w:rsidP="00C31A3B">
      <w:pPr>
        <w:spacing w:line="240" w:lineRule="auto"/>
        <w:jc w:val="both"/>
        <w:rPr>
          <w:rFonts w:ascii="Times New Roman" w:eastAsia="Times New Roman" w:hAnsi="Times New Roman" w:cs="Times New Roman"/>
          <w:b/>
          <w:bCs/>
          <w:i/>
          <w:iCs/>
          <w:sz w:val="24"/>
          <w:szCs w:val="24"/>
          <w:highlight w:val="white"/>
        </w:rPr>
      </w:pPr>
    </w:p>
    <w:p w14:paraId="2C50FF65" w14:textId="77777777" w:rsidR="00C31A3B" w:rsidRDefault="00000000" w:rsidP="00C31A3B">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Table 1 presents descriptive statistics. Of all secondary school graduates in the sample, only 3,364 (approximately 1%) subsequently enrolled at NU, underscoring both the institution’s selectivity and the highly competitive nature of access to NU. </w:t>
      </w:r>
    </w:p>
    <w:p w14:paraId="746F577F" w14:textId="77777777" w:rsidR="00C31A3B" w:rsidRDefault="00C31A3B" w:rsidP="00C31A3B">
      <w:pPr>
        <w:spacing w:line="240" w:lineRule="auto"/>
        <w:jc w:val="both"/>
        <w:rPr>
          <w:rFonts w:ascii="Times New Roman" w:eastAsia="Times New Roman" w:hAnsi="Times New Roman" w:cs="Times New Roman"/>
          <w:sz w:val="24"/>
          <w:szCs w:val="24"/>
          <w:highlight w:val="white"/>
        </w:rPr>
      </w:pPr>
    </w:p>
    <w:p w14:paraId="2524C37D" w14:textId="77777777" w:rsidR="00C31A3B" w:rsidRDefault="00000000" w:rsidP="00C31A3B">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descriptive statistics also reveal a secondary education system characterized by substantial institutional differentiation. Nearly four in five graduates attended regular public schools, split almost evenly between urban (43%) and rural (39%) settings. By contrast, only about 5% of students attended selective schools, such as NIS, BIL, </w:t>
      </w:r>
      <w:proofErr w:type="spellStart"/>
      <w:r>
        <w:rPr>
          <w:rFonts w:ascii="Times New Roman" w:eastAsia="Times New Roman" w:hAnsi="Times New Roman" w:cs="Times New Roman"/>
          <w:sz w:val="24"/>
          <w:szCs w:val="24"/>
          <w:highlight w:val="white"/>
        </w:rPr>
        <w:t>Fizmat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Daryn</w:t>
      </w:r>
      <w:proofErr w:type="spell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IQanat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Burabay</w:t>
      </w:r>
      <w:proofErr w:type="spellEnd"/>
      <w:r>
        <w:rPr>
          <w:rFonts w:ascii="Times New Roman" w:eastAsia="Times New Roman" w:hAnsi="Times New Roman" w:cs="Times New Roman"/>
          <w:sz w:val="24"/>
          <w:szCs w:val="24"/>
          <w:highlight w:val="white"/>
        </w:rPr>
        <w:t xml:space="preserve"> schools. The remaining graduates were distributed across gymnasiums and lyceums (5%), multigrade (5%), private (3%), and international (0.2%) schools. On average, schools served approximately 1,177 students, employed 146 teachers, and maintained an average class size of 20 students. Across schools, approximately 4% of teachers held the highest qualification category.</w:t>
      </w:r>
    </w:p>
    <w:p w14:paraId="6DB5E51F" w14:textId="77777777" w:rsidR="00C31A3B" w:rsidRDefault="00C31A3B" w:rsidP="00C31A3B">
      <w:pPr>
        <w:spacing w:line="240" w:lineRule="auto"/>
        <w:jc w:val="both"/>
        <w:rPr>
          <w:rFonts w:ascii="Times New Roman" w:eastAsia="Times New Roman" w:hAnsi="Times New Roman" w:cs="Times New Roman"/>
          <w:sz w:val="24"/>
          <w:szCs w:val="24"/>
          <w:highlight w:val="white"/>
        </w:rPr>
      </w:pPr>
    </w:p>
    <w:p w14:paraId="3BF4F425" w14:textId="77777777" w:rsidR="00C31A3B" w:rsidRDefault="00000000" w:rsidP="00C31A3B">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Students in the sample also varied considerably in their academic credentials and demographic backgrounds. While approximately 10% had graduated with honors diplomas and 1% had earned the prestigious </w:t>
      </w:r>
      <w:proofErr w:type="spellStart"/>
      <w:r>
        <w:rPr>
          <w:rFonts w:ascii="Times New Roman" w:eastAsia="Times New Roman" w:hAnsi="Times New Roman" w:cs="Times New Roman"/>
          <w:sz w:val="24"/>
          <w:szCs w:val="24"/>
          <w:highlight w:val="white"/>
        </w:rPr>
        <w:t>Altyn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Belgi</w:t>
      </w:r>
      <w:proofErr w:type="spellEnd"/>
      <w:r>
        <w:rPr>
          <w:rFonts w:ascii="Times New Roman" w:eastAsia="Times New Roman" w:hAnsi="Times New Roman" w:cs="Times New Roman"/>
          <w:sz w:val="24"/>
          <w:szCs w:val="24"/>
          <w:highlight w:val="white"/>
        </w:rPr>
        <w:t xml:space="preserve"> medal, </w:t>
      </w:r>
      <w:proofErr w:type="gramStart"/>
      <w:r>
        <w:rPr>
          <w:rFonts w:ascii="Times New Roman" w:eastAsia="Times New Roman" w:hAnsi="Times New Roman" w:cs="Times New Roman"/>
          <w:sz w:val="24"/>
          <w:szCs w:val="24"/>
          <w:highlight w:val="white"/>
        </w:rPr>
        <w:t>the majority of</w:t>
      </w:r>
      <w:proofErr w:type="gramEnd"/>
      <w:r>
        <w:rPr>
          <w:rFonts w:ascii="Times New Roman" w:eastAsia="Times New Roman" w:hAnsi="Times New Roman" w:cs="Times New Roman"/>
          <w:sz w:val="24"/>
          <w:szCs w:val="24"/>
          <w:highlight w:val="white"/>
        </w:rPr>
        <w:t xml:space="preserve"> graduates (89%) received ordinary diplomas. Females constituted a slight majority of graduates (53%). Most students attended Kazakh-language schools (70%), while 27% graduated from Russian-language schools and roughly 3% studied in English or other languages.</w:t>
      </w:r>
    </w:p>
    <w:p w14:paraId="20B51DEE" w14:textId="77777777" w:rsidR="00C31A3B" w:rsidRDefault="00C31A3B" w:rsidP="00C31A3B">
      <w:pPr>
        <w:spacing w:line="240" w:lineRule="auto"/>
        <w:jc w:val="both"/>
        <w:rPr>
          <w:rFonts w:ascii="Times New Roman" w:eastAsia="Times New Roman" w:hAnsi="Times New Roman" w:cs="Times New Roman"/>
          <w:sz w:val="24"/>
          <w:szCs w:val="24"/>
          <w:highlight w:val="white"/>
        </w:rPr>
      </w:pPr>
    </w:p>
    <w:p w14:paraId="2233DD0F" w14:textId="3F46F86C" w:rsidR="004C7857" w:rsidRDefault="00000000" w:rsidP="00C31A3B">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Indicators of family resources suggest that many students had access to basic technological infrastructure, although important disparities remained. Most came from households with high-speed internet access (88%). However, access to computing devices was less universal: While 54% reported access only to a smartphone but had no computer or laptop, just 34% had access to a computer or laptop in addition to a smartphone. Relatively small shares of students came from economically or socially vulnerable backgrounds, with approximately 2% living in households receiving government welfare payments and less than 1% identifying as orphans. </w:t>
      </w:r>
    </w:p>
    <w:p w14:paraId="32162C63" w14:textId="77777777" w:rsidR="00C31A3B" w:rsidRPr="00C31A3B" w:rsidRDefault="00C31A3B">
      <w:pPr>
        <w:spacing w:line="240" w:lineRule="auto"/>
        <w:rPr>
          <w:rFonts w:ascii="Times New Roman" w:eastAsia="Times New Roman" w:hAnsi="Times New Roman" w:cs="Times New Roman"/>
          <w:b/>
          <w:bCs/>
          <w:i/>
          <w:iCs/>
          <w:sz w:val="24"/>
          <w:szCs w:val="24"/>
          <w:highlight w:val="white"/>
        </w:rPr>
      </w:pPr>
    </w:p>
    <w:p w14:paraId="16788D87" w14:textId="77777777" w:rsidR="00C31A3B" w:rsidRDefault="00000000" w:rsidP="00C31A3B">
      <w:pPr>
        <w:spacing w:line="240" w:lineRule="auto"/>
        <w:rPr>
          <w:rFonts w:ascii="Times New Roman" w:eastAsia="Times New Roman" w:hAnsi="Times New Roman" w:cs="Times New Roman"/>
          <w:b/>
          <w:bCs/>
          <w:sz w:val="24"/>
          <w:szCs w:val="24"/>
          <w:highlight w:val="white"/>
        </w:rPr>
      </w:pPr>
      <w:r w:rsidRPr="00C31A3B">
        <w:rPr>
          <w:rFonts w:ascii="Times New Roman" w:eastAsia="Times New Roman" w:hAnsi="Times New Roman" w:cs="Times New Roman"/>
          <w:b/>
          <w:bCs/>
          <w:i/>
          <w:iCs/>
          <w:sz w:val="24"/>
          <w:szCs w:val="24"/>
          <w:highlight w:val="white"/>
        </w:rPr>
        <w:t xml:space="preserve">Nazarbayev University Within Kazakhstan’s Postsecondary Access Landscape </w:t>
      </w:r>
    </w:p>
    <w:p w14:paraId="31EE6232" w14:textId="77777777" w:rsidR="00C31A3B" w:rsidRDefault="00C31A3B" w:rsidP="00C31A3B">
      <w:pPr>
        <w:spacing w:line="240" w:lineRule="auto"/>
        <w:rPr>
          <w:rFonts w:ascii="Times New Roman" w:eastAsia="Times New Roman" w:hAnsi="Times New Roman" w:cs="Times New Roman"/>
          <w:b/>
          <w:bCs/>
          <w:sz w:val="24"/>
          <w:szCs w:val="24"/>
          <w:highlight w:val="white"/>
        </w:rPr>
      </w:pPr>
    </w:p>
    <w:p w14:paraId="7F2E4A5E" w14:textId="77777777" w:rsidR="00C31A3B" w:rsidRDefault="00000000" w:rsidP="00C31A3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To contextualize NU enrollment within Kazakhstan’s broader higher education access landscape, we present additional descriptive statistics. Specifically, Table 2 reports enrollment rates in any higher education institution alongside enrollment in NU, disaggregated by secondary school type. Overall, 56% of graduates enroll in any university in Kazakhstan, while only 1% enroll at NU. Enrollment in any university varies moderately across school types, clustering around the mid-50% range for graduates of urban public schools (56%), rural public schools (52%), and multigrade schools (51%); enrollment is somewhat higher for gymnasium/lyceum graduates (63%) and private school graduates </w:t>
      </w:r>
      <w:r>
        <w:rPr>
          <w:rFonts w:ascii="Times New Roman" w:eastAsia="Times New Roman" w:hAnsi="Times New Roman" w:cs="Times New Roman"/>
          <w:sz w:val="24"/>
          <w:szCs w:val="24"/>
          <w:highlight w:val="white"/>
        </w:rPr>
        <w:lastRenderedPageBreak/>
        <w:t>(72%). Selective secondary schools exhibit similarly high or slightly higher overall university enrollment rates.</w:t>
      </w:r>
      <w:r>
        <w:rPr>
          <w:rFonts w:ascii="Times New Roman" w:eastAsia="Times New Roman" w:hAnsi="Times New Roman" w:cs="Times New Roman"/>
          <w:sz w:val="24"/>
          <w:szCs w:val="24"/>
          <w:highlight w:val="white"/>
          <w:vertAlign w:val="superscript"/>
        </w:rPr>
        <w:footnoteReference w:id="11"/>
      </w:r>
      <w:r>
        <w:rPr>
          <w:rFonts w:ascii="Times New Roman" w:eastAsia="Times New Roman" w:hAnsi="Times New Roman" w:cs="Times New Roman"/>
          <w:sz w:val="24"/>
          <w:szCs w:val="24"/>
          <w:highlight w:val="white"/>
        </w:rPr>
        <w:t xml:space="preserve"> </w:t>
      </w:r>
    </w:p>
    <w:p w14:paraId="37D8FEE3" w14:textId="77777777" w:rsidR="00C31A3B" w:rsidRDefault="00C31A3B" w:rsidP="00C31A3B">
      <w:pPr>
        <w:spacing w:line="240" w:lineRule="auto"/>
        <w:rPr>
          <w:rFonts w:ascii="Times New Roman" w:eastAsia="Times New Roman" w:hAnsi="Times New Roman" w:cs="Times New Roman"/>
          <w:b/>
          <w:bCs/>
          <w:sz w:val="24"/>
          <w:szCs w:val="24"/>
          <w:highlight w:val="white"/>
        </w:rPr>
      </w:pPr>
    </w:p>
    <w:p w14:paraId="258C895A" w14:textId="77777777" w:rsidR="00C31A3B" w:rsidRDefault="00000000" w:rsidP="00C31A3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In contrast, NU enrollment is highly concentrated among a small set of elite secondary schools. The highest shares are observed among graduates of NIS schools (27%), followed by </w:t>
      </w:r>
      <w:proofErr w:type="spellStart"/>
      <w:r>
        <w:rPr>
          <w:rFonts w:ascii="Times New Roman" w:eastAsia="Times New Roman" w:hAnsi="Times New Roman" w:cs="Times New Roman"/>
          <w:sz w:val="24"/>
          <w:szCs w:val="24"/>
          <w:highlight w:val="white"/>
        </w:rPr>
        <w:t>Fizmat</w:t>
      </w:r>
      <w:proofErr w:type="spellEnd"/>
      <w:r>
        <w:rPr>
          <w:rFonts w:ascii="Times New Roman" w:eastAsia="Times New Roman" w:hAnsi="Times New Roman" w:cs="Times New Roman"/>
          <w:sz w:val="24"/>
          <w:szCs w:val="24"/>
          <w:highlight w:val="white"/>
        </w:rPr>
        <w:t xml:space="preserve"> (24%), </w:t>
      </w:r>
      <w:proofErr w:type="spellStart"/>
      <w:r>
        <w:rPr>
          <w:rFonts w:ascii="Times New Roman" w:eastAsia="Times New Roman" w:hAnsi="Times New Roman" w:cs="Times New Roman"/>
          <w:sz w:val="24"/>
          <w:szCs w:val="24"/>
          <w:highlight w:val="white"/>
        </w:rPr>
        <w:t>IQanat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Burabay</w:t>
      </w:r>
      <w:proofErr w:type="spellEnd"/>
      <w:r>
        <w:rPr>
          <w:rFonts w:ascii="Times New Roman" w:eastAsia="Times New Roman" w:hAnsi="Times New Roman" w:cs="Times New Roman"/>
          <w:sz w:val="24"/>
          <w:szCs w:val="24"/>
          <w:highlight w:val="white"/>
        </w:rPr>
        <w:t xml:space="preserve"> (11%), and BIL schools (8%), with other selective schools also showing elevated but more modest rates. By comparison, NU enrollment is virtually nonexistent among graduates of mainstream public schools (0.2% in urban schools and 0.01% in rural and multigrade schools), as well as among gymnasiums/lyceums (0.6%), and private schools (0.3%).</w:t>
      </w:r>
    </w:p>
    <w:p w14:paraId="4E9A37F6" w14:textId="77777777" w:rsidR="00C31A3B" w:rsidRDefault="00C31A3B" w:rsidP="00C31A3B">
      <w:pPr>
        <w:spacing w:line="240" w:lineRule="auto"/>
        <w:rPr>
          <w:rFonts w:ascii="Times New Roman" w:eastAsia="Times New Roman" w:hAnsi="Times New Roman" w:cs="Times New Roman"/>
          <w:b/>
          <w:bCs/>
          <w:sz w:val="24"/>
          <w:szCs w:val="24"/>
          <w:highlight w:val="white"/>
        </w:rPr>
      </w:pPr>
    </w:p>
    <w:p w14:paraId="4197F444" w14:textId="77777777" w:rsidR="00C31A3B" w:rsidRDefault="00000000" w:rsidP="00C31A3B">
      <w:pPr>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We further examine the composition of NU students by secondary school type in Figure 1. The distribution reveals a striking concentration of selective-school graduates, who account for nearly 80% of NU students. NIS schools alone comprise 53% of all NU students, followed by BIL schools at 11% and </w:t>
      </w:r>
      <w:proofErr w:type="spellStart"/>
      <w:r>
        <w:rPr>
          <w:rFonts w:ascii="Times New Roman" w:eastAsia="Times New Roman" w:hAnsi="Times New Roman" w:cs="Times New Roman"/>
          <w:sz w:val="24"/>
          <w:szCs w:val="24"/>
          <w:highlight w:val="white"/>
        </w:rPr>
        <w:t>Fizmat</w:t>
      </w:r>
      <w:proofErr w:type="spellEnd"/>
      <w:r>
        <w:rPr>
          <w:rFonts w:ascii="Times New Roman" w:eastAsia="Times New Roman" w:hAnsi="Times New Roman" w:cs="Times New Roman"/>
          <w:sz w:val="24"/>
          <w:szCs w:val="24"/>
          <w:highlight w:val="white"/>
        </w:rPr>
        <w:t xml:space="preserve"> at 7%; together, these schools account for 71% of NU enrollment. </w:t>
      </w:r>
    </w:p>
    <w:p w14:paraId="19F8D5F7" w14:textId="77777777" w:rsidR="00C31A3B" w:rsidRDefault="00C31A3B" w:rsidP="00C31A3B">
      <w:pPr>
        <w:spacing w:line="240" w:lineRule="auto"/>
        <w:rPr>
          <w:rFonts w:ascii="Times New Roman" w:eastAsia="Times New Roman" w:hAnsi="Times New Roman" w:cs="Times New Roman"/>
          <w:b/>
          <w:bCs/>
          <w:sz w:val="24"/>
          <w:szCs w:val="24"/>
          <w:highlight w:val="white"/>
        </w:rPr>
      </w:pPr>
    </w:p>
    <w:p w14:paraId="77E1E503" w14:textId="7A3511E9" w:rsidR="004C7857" w:rsidRDefault="00000000" w:rsidP="00C31A3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sharp contrast, students from mainstream school types are minimally represented at NU. Urban public schools, which serve 43% of all students nationally, account for only 12% of NU enrollees. Rural public schools, despite educating 39% of graduates nationwide, contribute less than 1% of NU students. Multigrade schools account for fewer than 0.1% of students admitted to NU.</w:t>
      </w:r>
    </w:p>
    <w:p w14:paraId="60FD05CA" w14:textId="77777777" w:rsidR="00C31A3B" w:rsidRPr="00C31A3B" w:rsidRDefault="00C31A3B" w:rsidP="00C31A3B">
      <w:pPr>
        <w:spacing w:line="240" w:lineRule="auto"/>
        <w:rPr>
          <w:rFonts w:ascii="Times New Roman" w:eastAsia="Times New Roman" w:hAnsi="Times New Roman" w:cs="Times New Roman"/>
          <w:b/>
          <w:bCs/>
          <w:sz w:val="24"/>
          <w:szCs w:val="24"/>
          <w:highlight w:val="white"/>
        </w:rPr>
      </w:pPr>
    </w:p>
    <w:p w14:paraId="0B508DC2" w14:textId="77777777" w:rsidR="00C31A3B" w:rsidRDefault="00000000" w:rsidP="00C31A3B">
      <w:pPr>
        <w:spacing w:line="240" w:lineRule="auto"/>
        <w:rPr>
          <w:rFonts w:ascii="Times New Roman" w:eastAsia="Times New Roman" w:hAnsi="Times New Roman" w:cs="Times New Roman"/>
          <w:b/>
          <w:bCs/>
          <w:i/>
          <w:iCs/>
          <w:sz w:val="24"/>
          <w:szCs w:val="24"/>
          <w:highlight w:val="white"/>
        </w:rPr>
      </w:pPr>
      <w:r w:rsidRPr="00C31A3B">
        <w:rPr>
          <w:rFonts w:ascii="Times New Roman" w:eastAsia="Times New Roman" w:hAnsi="Times New Roman" w:cs="Times New Roman"/>
          <w:b/>
          <w:bCs/>
          <w:i/>
          <w:iCs/>
          <w:sz w:val="24"/>
          <w:szCs w:val="24"/>
          <w:highlight w:val="white"/>
        </w:rPr>
        <w:t>Predictors of NU Enrollment</w:t>
      </w:r>
    </w:p>
    <w:p w14:paraId="38A91730" w14:textId="77777777" w:rsidR="00C31A3B" w:rsidRDefault="00C31A3B" w:rsidP="00C31A3B">
      <w:pPr>
        <w:spacing w:line="240" w:lineRule="auto"/>
        <w:rPr>
          <w:rFonts w:ascii="Times New Roman" w:eastAsia="Times New Roman" w:hAnsi="Times New Roman" w:cs="Times New Roman"/>
          <w:b/>
          <w:bCs/>
          <w:i/>
          <w:iCs/>
          <w:sz w:val="24"/>
          <w:szCs w:val="24"/>
          <w:highlight w:val="white"/>
        </w:rPr>
      </w:pPr>
    </w:p>
    <w:p w14:paraId="3171E078" w14:textId="77777777" w:rsidR="00C31A3B" w:rsidRDefault="00000000" w:rsidP="00C31A3B">
      <w:pPr>
        <w:spacing w:line="24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t xml:space="preserve">Table 3 reports regression results. In alignment with descriptive statistics, the most striking pattern in the results is the overwhelming importance of secondary school type. Across specifications, school type emerges as by far the strongest predictor of NU enrollment, with large and systematically patterned coefficients across institutional categories. In contrast, academic achievement, sociodemographic characteristics, and most measured school resources exhibit comparatively small or substantively modest associations once school type is </w:t>
      </w:r>
      <w:proofErr w:type="gramStart"/>
      <w:r>
        <w:rPr>
          <w:rFonts w:ascii="Times New Roman" w:eastAsia="Times New Roman" w:hAnsi="Times New Roman" w:cs="Times New Roman"/>
          <w:sz w:val="24"/>
          <w:szCs w:val="24"/>
          <w:highlight w:val="white"/>
        </w:rPr>
        <w:t>taken into account</w:t>
      </w:r>
      <w:proofErr w:type="gramEnd"/>
      <w:r>
        <w:rPr>
          <w:rFonts w:ascii="Times New Roman" w:eastAsia="Times New Roman" w:hAnsi="Times New Roman" w:cs="Times New Roman"/>
          <w:sz w:val="24"/>
          <w:szCs w:val="24"/>
          <w:highlight w:val="white"/>
        </w:rPr>
        <w:t>.</w:t>
      </w:r>
    </w:p>
    <w:p w14:paraId="0A4DDC51" w14:textId="77777777" w:rsidR="00C31A3B" w:rsidRDefault="00C31A3B" w:rsidP="00C31A3B">
      <w:pPr>
        <w:spacing w:line="240" w:lineRule="auto"/>
        <w:rPr>
          <w:rFonts w:ascii="Times New Roman" w:eastAsia="Times New Roman" w:hAnsi="Times New Roman" w:cs="Times New Roman"/>
          <w:b/>
          <w:bCs/>
          <w:i/>
          <w:iCs/>
          <w:sz w:val="24"/>
          <w:szCs w:val="24"/>
          <w:highlight w:val="white"/>
        </w:rPr>
      </w:pPr>
    </w:p>
    <w:p w14:paraId="1E39AAEE" w14:textId="77777777" w:rsidR="00C31A3B" w:rsidRDefault="00000000" w:rsidP="00C31A3B">
      <w:pPr>
        <w:spacing w:line="24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t xml:space="preserve">Turning briefly to these other predictors, the results indicate that individual academic achievement is positively associated with NU </w:t>
      </w:r>
      <w:proofErr w:type="gramStart"/>
      <w:r>
        <w:rPr>
          <w:rFonts w:ascii="Times New Roman" w:eastAsia="Times New Roman" w:hAnsi="Times New Roman" w:cs="Times New Roman"/>
          <w:sz w:val="24"/>
          <w:szCs w:val="24"/>
          <w:highlight w:val="white"/>
        </w:rPr>
        <w:t>enrollment</w:t>
      </w:r>
      <w:proofErr w:type="gramEnd"/>
      <w:r>
        <w:rPr>
          <w:rFonts w:ascii="Times New Roman" w:eastAsia="Times New Roman" w:hAnsi="Times New Roman" w:cs="Times New Roman"/>
          <w:sz w:val="24"/>
          <w:szCs w:val="24"/>
          <w:highlight w:val="white"/>
        </w:rPr>
        <w:t xml:space="preserve"> but the coefficient is small in magnitude. Both honors diplomas and the </w:t>
      </w:r>
      <w:proofErr w:type="spellStart"/>
      <w:r>
        <w:rPr>
          <w:rFonts w:ascii="Times New Roman" w:eastAsia="Times New Roman" w:hAnsi="Times New Roman" w:cs="Times New Roman"/>
          <w:sz w:val="24"/>
          <w:szCs w:val="24"/>
          <w:highlight w:val="white"/>
        </w:rPr>
        <w:t>Altyn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Belgi</w:t>
      </w:r>
      <w:proofErr w:type="spellEnd"/>
      <w:r>
        <w:rPr>
          <w:rFonts w:ascii="Times New Roman" w:eastAsia="Times New Roman" w:hAnsi="Times New Roman" w:cs="Times New Roman"/>
          <w:sz w:val="24"/>
          <w:szCs w:val="24"/>
          <w:highlight w:val="white"/>
        </w:rPr>
        <w:t xml:space="preserve"> medal are statistically significant predictors of enrollment; however, their coefficients are again small, especially relative to school-type coefficients. Female students and Russian-language instruction show slightly lower probabilities of NU enrollment, yet coefficients imply limited practical significance. Family socioeconomic indicators show little systematic association with NU enrollment. Likewise, school-level structural characteristics, including teacher qualifications, class size, and school size, explain little variation in the outcome variable. Taken together, these estimates suggest that observable individual and school resource differences do not account for the large disparities in access to NU once the type of school that students attended is considered.</w:t>
      </w:r>
    </w:p>
    <w:p w14:paraId="4CFFEFDE" w14:textId="77777777" w:rsidR="00C31A3B" w:rsidRDefault="00C31A3B" w:rsidP="00C31A3B">
      <w:pPr>
        <w:spacing w:line="240" w:lineRule="auto"/>
        <w:rPr>
          <w:rFonts w:ascii="Times New Roman" w:eastAsia="Times New Roman" w:hAnsi="Times New Roman" w:cs="Times New Roman"/>
          <w:b/>
          <w:bCs/>
          <w:i/>
          <w:iCs/>
          <w:sz w:val="24"/>
          <w:szCs w:val="24"/>
          <w:highlight w:val="white"/>
        </w:rPr>
      </w:pPr>
    </w:p>
    <w:p w14:paraId="115CDD33" w14:textId="77777777" w:rsidR="00C31A3B" w:rsidRDefault="00000000" w:rsidP="00C31A3B">
      <w:pPr>
        <w:spacing w:line="24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lastRenderedPageBreak/>
        <w:t>Against this backdrop, school-type differences are both large in magnitude and strongly ordered. The largest coefficient is observed for graduates of NIS schools, who are 3.57 percentage points more likely to enroll at NU than comparable students from regular urban public schools, ceteris paribus. Given a baseline NU enrollment rate of 0.20% among urban public school graduates, this corresponds to nearly a twentyfold higher probability of NU enrollment for NIS graduates.</w:t>
      </w:r>
    </w:p>
    <w:p w14:paraId="0C3CE1E6" w14:textId="77777777" w:rsidR="00C31A3B" w:rsidRDefault="00C31A3B" w:rsidP="00C31A3B">
      <w:pPr>
        <w:spacing w:line="240" w:lineRule="auto"/>
        <w:rPr>
          <w:rFonts w:ascii="Times New Roman" w:eastAsia="Times New Roman" w:hAnsi="Times New Roman" w:cs="Times New Roman"/>
          <w:b/>
          <w:bCs/>
          <w:i/>
          <w:iCs/>
          <w:sz w:val="24"/>
          <w:szCs w:val="24"/>
          <w:highlight w:val="white"/>
        </w:rPr>
      </w:pPr>
    </w:p>
    <w:p w14:paraId="5439AA20" w14:textId="77777777" w:rsidR="00C31A3B" w:rsidRDefault="00000000" w:rsidP="00C31A3B">
      <w:pPr>
        <w:spacing w:line="24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t xml:space="preserve">Other selective schools exhibit similarly large advantages. Graduation from </w:t>
      </w:r>
      <w:proofErr w:type="spellStart"/>
      <w:r>
        <w:rPr>
          <w:rFonts w:ascii="Times New Roman" w:eastAsia="Times New Roman" w:hAnsi="Times New Roman" w:cs="Times New Roman"/>
          <w:sz w:val="24"/>
          <w:szCs w:val="24"/>
          <w:highlight w:val="white"/>
        </w:rPr>
        <w:t>Fizmat</w:t>
      </w:r>
      <w:proofErr w:type="spellEnd"/>
      <w:r>
        <w:rPr>
          <w:rFonts w:ascii="Times New Roman" w:eastAsia="Times New Roman" w:hAnsi="Times New Roman" w:cs="Times New Roman"/>
          <w:sz w:val="24"/>
          <w:szCs w:val="24"/>
          <w:highlight w:val="white"/>
        </w:rPr>
        <w:t xml:space="preserve"> schools is associated with a 2.83 percentage-point increase in NU enrollment (approximately a fifteenfold higher probability relative to urban public school graduates). Coefficients for BIL and </w:t>
      </w:r>
      <w:proofErr w:type="spellStart"/>
      <w:r>
        <w:rPr>
          <w:rFonts w:ascii="Times New Roman" w:eastAsia="Times New Roman" w:hAnsi="Times New Roman" w:cs="Times New Roman"/>
          <w:sz w:val="24"/>
          <w:szCs w:val="24"/>
          <w:highlight w:val="white"/>
        </w:rPr>
        <w:t>IQanat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Burabay</w:t>
      </w:r>
      <w:proofErr w:type="spellEnd"/>
      <w:r>
        <w:rPr>
          <w:rFonts w:ascii="Times New Roman" w:eastAsia="Times New Roman" w:hAnsi="Times New Roman" w:cs="Times New Roman"/>
          <w:sz w:val="24"/>
          <w:szCs w:val="24"/>
          <w:highlight w:val="white"/>
        </w:rPr>
        <w:t xml:space="preserve"> schools are 2.14 percentage points each, corresponding to roughly elevenfold higher probability of NU enrollment compared to ordinary public school student graduates. Graduates of </w:t>
      </w:r>
      <w:proofErr w:type="spellStart"/>
      <w:r>
        <w:rPr>
          <w:rFonts w:ascii="Times New Roman" w:eastAsia="Times New Roman" w:hAnsi="Times New Roman" w:cs="Times New Roman"/>
          <w:sz w:val="24"/>
          <w:szCs w:val="24"/>
          <w:highlight w:val="white"/>
        </w:rPr>
        <w:t>Daryn</w:t>
      </w:r>
      <w:proofErr w:type="spellEnd"/>
      <w:r>
        <w:rPr>
          <w:rFonts w:ascii="Times New Roman" w:eastAsia="Times New Roman" w:hAnsi="Times New Roman" w:cs="Times New Roman"/>
          <w:sz w:val="24"/>
          <w:szCs w:val="24"/>
          <w:highlight w:val="white"/>
        </w:rPr>
        <w:t xml:space="preserve"> schools (1.49 percentage points) and other selective schools (1.36 percentage points) also display substantial advantages, translating into approximately seven- to eightfold higher probability of NU enrollment relative to the ordinary urban public school graduates.</w:t>
      </w:r>
    </w:p>
    <w:p w14:paraId="19A5A835" w14:textId="77777777" w:rsidR="00C31A3B" w:rsidRDefault="00C31A3B" w:rsidP="00C31A3B">
      <w:pPr>
        <w:spacing w:line="240" w:lineRule="auto"/>
        <w:rPr>
          <w:rFonts w:ascii="Times New Roman" w:eastAsia="Times New Roman" w:hAnsi="Times New Roman" w:cs="Times New Roman"/>
          <w:b/>
          <w:bCs/>
          <w:i/>
          <w:iCs/>
          <w:sz w:val="24"/>
          <w:szCs w:val="24"/>
          <w:highlight w:val="white"/>
        </w:rPr>
      </w:pPr>
    </w:p>
    <w:p w14:paraId="3508C087" w14:textId="77777777" w:rsidR="00C31A3B" w:rsidRDefault="00000000" w:rsidP="00C31A3B">
      <w:pPr>
        <w:spacing w:line="24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sz w:val="24"/>
          <w:szCs w:val="24"/>
          <w:highlight w:val="white"/>
        </w:rPr>
        <w:t>International schools likewise show elevated probabilities of NU enrollment. Attendance at these schools is associated with a 1.68 percentage-point increase in NU enrollment, or approximately a ninefold higher probability relative to urban public school graduates. Gymnasiums and lyceums exhibit more modest but still statistically significant associations (0.50 percentage points), corresponding to roughly a threefold higher probability compared to mainstream public schools. By contrast, private schools show no statistically significant relationship with NU enrollment.</w:t>
      </w:r>
    </w:p>
    <w:p w14:paraId="56C0AEA9" w14:textId="2BCED329" w:rsidR="004C7857" w:rsidRDefault="00000000" w:rsidP="00C31A3B">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At the other end of the distribution, rural and multigrade schooling is consistently associated with lower probabilities of NU enrollment. Attending a rural public school is associated with a 1.08 percentage-point decrease in enrollment probability, while multigrade schools are associated with a 1.18 percentage-point decrease relative to urban public schools. Given the already extremely low baseline rate of enrollment, these estimates imply that graduates of rural and multigrade schools face effectively near-zero probabilities of enrolling at NU, even when they have comparable academic achievement and observable family and school characteristics as their urban public school counterparts.</w:t>
      </w:r>
    </w:p>
    <w:p w14:paraId="388796C0" w14:textId="77777777" w:rsidR="00C31A3B" w:rsidRPr="00C31A3B" w:rsidRDefault="00C31A3B" w:rsidP="00C31A3B">
      <w:pPr>
        <w:spacing w:line="240" w:lineRule="auto"/>
        <w:rPr>
          <w:rFonts w:ascii="Times New Roman" w:eastAsia="Times New Roman" w:hAnsi="Times New Roman" w:cs="Times New Roman"/>
          <w:b/>
          <w:bCs/>
          <w:i/>
          <w:iCs/>
          <w:sz w:val="24"/>
          <w:szCs w:val="24"/>
          <w:highlight w:val="white"/>
        </w:rPr>
      </w:pPr>
    </w:p>
    <w:p w14:paraId="59A57411" w14:textId="77777777" w:rsidR="00892A30" w:rsidRDefault="00000000" w:rsidP="00892A30">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Discussion and Conclusions</w:t>
      </w:r>
    </w:p>
    <w:p w14:paraId="51F8E339" w14:textId="77777777" w:rsidR="00892A30" w:rsidRDefault="00892A30" w:rsidP="00892A30">
      <w:pPr>
        <w:keepNext/>
        <w:spacing w:line="240" w:lineRule="auto"/>
        <w:rPr>
          <w:rFonts w:ascii="Times New Roman" w:eastAsia="Times New Roman" w:hAnsi="Times New Roman" w:cs="Times New Roman"/>
          <w:b/>
          <w:bCs/>
          <w:sz w:val="24"/>
          <w:szCs w:val="24"/>
          <w:highlight w:val="white"/>
        </w:rPr>
      </w:pPr>
    </w:p>
    <w:p w14:paraId="475F2B85" w14:textId="77777777" w:rsidR="00892A30" w:rsidRDefault="00000000" w:rsidP="00892A30">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This study examines individual- and school-level predictors of enrollment at NU, Kazakhstan’s most selective higher education institution. The findings demonstrate the centrality of attending selective schools as a predictor of access to NU and show the comparatively limited explanatory power of individual- and other school-level characteristics. Findings show pronounced concentration of NU enrollment among graduates of selective secondary schools. Although these schools educate only a small fraction of Kazakhstan’s secondary school population (around 5%), they account for over 80% of NU enrollees. </w:t>
      </w:r>
      <w:proofErr w:type="gramStart"/>
      <w:r>
        <w:rPr>
          <w:rFonts w:ascii="Times New Roman" w:eastAsia="Times New Roman" w:hAnsi="Times New Roman" w:cs="Times New Roman"/>
          <w:sz w:val="24"/>
          <w:szCs w:val="24"/>
          <w:highlight w:val="white"/>
        </w:rPr>
        <w:t>In particular, graduates</w:t>
      </w:r>
      <w:proofErr w:type="gramEnd"/>
      <w:r>
        <w:rPr>
          <w:rFonts w:ascii="Times New Roman" w:eastAsia="Times New Roman" w:hAnsi="Times New Roman" w:cs="Times New Roman"/>
          <w:sz w:val="24"/>
          <w:szCs w:val="24"/>
          <w:highlight w:val="white"/>
        </w:rPr>
        <w:t xml:space="preserve"> of three state-funded selective secondary school networks (NIS, BIL, and </w:t>
      </w:r>
      <w:proofErr w:type="spellStart"/>
      <w:r>
        <w:rPr>
          <w:rFonts w:ascii="Times New Roman" w:eastAsia="Times New Roman" w:hAnsi="Times New Roman" w:cs="Times New Roman"/>
          <w:sz w:val="24"/>
          <w:szCs w:val="24"/>
          <w:highlight w:val="white"/>
        </w:rPr>
        <w:t>Fizmat</w:t>
      </w:r>
      <w:proofErr w:type="spellEnd"/>
      <w:r>
        <w:rPr>
          <w:rFonts w:ascii="Times New Roman" w:eastAsia="Times New Roman" w:hAnsi="Times New Roman" w:cs="Times New Roman"/>
          <w:sz w:val="24"/>
          <w:szCs w:val="24"/>
          <w:highlight w:val="white"/>
        </w:rPr>
        <w:t xml:space="preserve">) comprise 71% of all students admitted to NU between 2021 and 2023, despite collectively producing only about 2.2% of secondary school graduates nationally. By contrast, graduates of rural and multigrade schools represent approximately 44% of all secondary school graduates but account for fewer than 1% of NU enrollees. </w:t>
      </w:r>
    </w:p>
    <w:p w14:paraId="32ECF4AE" w14:textId="77777777" w:rsidR="00892A30" w:rsidRDefault="00892A30" w:rsidP="00892A30">
      <w:pPr>
        <w:keepNext/>
        <w:spacing w:line="240" w:lineRule="auto"/>
        <w:rPr>
          <w:rFonts w:ascii="Times New Roman" w:eastAsia="Times New Roman" w:hAnsi="Times New Roman" w:cs="Times New Roman"/>
          <w:b/>
          <w:bCs/>
          <w:sz w:val="24"/>
          <w:szCs w:val="24"/>
          <w:highlight w:val="white"/>
        </w:rPr>
      </w:pPr>
    </w:p>
    <w:p w14:paraId="6688E2A9" w14:textId="77777777" w:rsidR="00892A30" w:rsidRDefault="00000000" w:rsidP="00892A30">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The findings suggest that selective schools structure access to later opportunities within Kazakhstan’s educational system, operating as a powerful sorting mechanism (Bourdieu, </w:t>
      </w:r>
      <w:r>
        <w:rPr>
          <w:rFonts w:ascii="Times New Roman" w:eastAsia="Times New Roman" w:hAnsi="Times New Roman" w:cs="Times New Roman"/>
          <w:sz w:val="24"/>
          <w:szCs w:val="24"/>
          <w:highlight w:val="white"/>
        </w:rPr>
        <w:lastRenderedPageBreak/>
        <w:t xml:space="preserve">1977, 1986; </w:t>
      </w:r>
      <w:proofErr w:type="spellStart"/>
      <w:r>
        <w:rPr>
          <w:rFonts w:ascii="Times New Roman" w:eastAsia="Times New Roman" w:hAnsi="Times New Roman" w:cs="Times New Roman"/>
          <w:sz w:val="24"/>
          <w:szCs w:val="24"/>
          <w:highlight w:val="white"/>
        </w:rPr>
        <w:t>Domina</w:t>
      </w:r>
      <w:proofErr w:type="spellEnd"/>
      <w:r>
        <w:rPr>
          <w:rFonts w:ascii="Times New Roman" w:eastAsia="Times New Roman" w:hAnsi="Times New Roman" w:cs="Times New Roman"/>
          <w:sz w:val="24"/>
          <w:szCs w:val="24"/>
          <w:highlight w:val="white"/>
        </w:rPr>
        <w:t xml:space="preserve"> et al., 2017). Merit-based selection into NU thus functions as an integral component of the stratified educational system, reproducing inequalities that are both socially patterned and institutionally reinforced by favoring students whose prior schooling aligns with institutional expectations (Bourdieu, 1986; Reay, 2017). As a result, stratification becomes increasingly concentrated at the top of the system, where access is shaped by early placement into selective educational pathways embodied by selective public schools (Gamoran, 2009). In other words, NU predominantly admits students whose trajectories are effectively set long before university application. </w:t>
      </w:r>
    </w:p>
    <w:p w14:paraId="538ABCB9" w14:textId="77777777" w:rsidR="00892A30" w:rsidRDefault="00892A30" w:rsidP="00892A30">
      <w:pPr>
        <w:keepNext/>
        <w:spacing w:line="240" w:lineRule="auto"/>
        <w:rPr>
          <w:rFonts w:ascii="Times New Roman" w:eastAsia="Times New Roman" w:hAnsi="Times New Roman" w:cs="Times New Roman"/>
          <w:b/>
          <w:bCs/>
          <w:sz w:val="24"/>
          <w:szCs w:val="24"/>
          <w:highlight w:val="white"/>
        </w:rPr>
      </w:pPr>
    </w:p>
    <w:p w14:paraId="0F65198E" w14:textId="77777777" w:rsidR="00892A30" w:rsidRDefault="00000000" w:rsidP="00892A30">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Importantly, the strong association between school type and NU enrollment should not be read as the causal effect of attending these institutions. Because admission to selective schools such as NIS and BIL is itself competitive and shaped by students’ earlier academic preparation and family resources, attendance largely marks students who have already accumulated educational advantages. This interpretation is consistent with quasi-experimental evidence that selective schools exert limited independent effects on postsecondary outcomes (Clark, 2010; Dobbie &amp; Fryer, 2011). Selective schools appear to concentrate, certify, and convert pre-existing advantage into access to elite higher education rather than generate that advantage themselves (Bourdieu, 1986).</w:t>
      </w:r>
    </w:p>
    <w:p w14:paraId="631760A1" w14:textId="77777777" w:rsidR="00892A30" w:rsidRDefault="00892A30" w:rsidP="00892A30">
      <w:pPr>
        <w:keepNext/>
        <w:spacing w:line="240" w:lineRule="auto"/>
        <w:rPr>
          <w:rFonts w:ascii="Times New Roman" w:eastAsia="Times New Roman" w:hAnsi="Times New Roman" w:cs="Times New Roman"/>
          <w:b/>
          <w:bCs/>
          <w:sz w:val="24"/>
          <w:szCs w:val="24"/>
          <w:highlight w:val="white"/>
        </w:rPr>
      </w:pPr>
    </w:p>
    <w:p w14:paraId="39567251" w14:textId="77777777" w:rsidR="00892A30" w:rsidRDefault="00000000" w:rsidP="00892A30">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Our findings also contribute to longstanding debates on the relative importance of family background and school resources in shaping educational inequality. The Coleman Report (Coleman et al., 1966) argued that family and social background are stronger predictors of educational outcomes than measurable school characteristics, a conclusion echoed in subsequent work emphasizing socioeconomic conditions outside of school (</w:t>
      </w:r>
      <w:r>
        <w:rPr>
          <w:rFonts w:ascii="Times New Roman" w:eastAsia="Times New Roman" w:hAnsi="Times New Roman" w:cs="Times New Roman"/>
          <w:color w:val="222222"/>
          <w:sz w:val="24"/>
          <w:szCs w:val="24"/>
          <w:highlight w:val="white"/>
        </w:rPr>
        <w:t xml:space="preserve">Downey &amp; Condron, 2016; </w:t>
      </w:r>
      <w:r>
        <w:rPr>
          <w:rFonts w:ascii="Times New Roman" w:eastAsia="Times New Roman" w:hAnsi="Times New Roman" w:cs="Times New Roman"/>
          <w:sz w:val="24"/>
          <w:szCs w:val="24"/>
          <w:highlight w:val="white"/>
        </w:rPr>
        <w:t>Jencks, 1972; Reardon, 2011; Sirin, 2005). The present study extends this literature by showing that, in Kazakhstan, while family socioeconomic background remains relevant, school type plays a particularly consequential role in shaping access to elite higher education.</w:t>
      </w:r>
    </w:p>
    <w:p w14:paraId="0EBF61FF" w14:textId="77777777" w:rsidR="00892A30" w:rsidRDefault="00892A30" w:rsidP="00892A30">
      <w:pPr>
        <w:keepNext/>
        <w:spacing w:line="240" w:lineRule="auto"/>
        <w:rPr>
          <w:rFonts w:ascii="Times New Roman" w:eastAsia="Times New Roman" w:hAnsi="Times New Roman" w:cs="Times New Roman"/>
          <w:b/>
          <w:bCs/>
          <w:sz w:val="24"/>
          <w:szCs w:val="24"/>
          <w:highlight w:val="white"/>
        </w:rPr>
      </w:pPr>
    </w:p>
    <w:p w14:paraId="4C2B01AF" w14:textId="77777777" w:rsidR="00892A30" w:rsidRDefault="00000000" w:rsidP="00892A30">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The findings should also be interpreted within Kazakhstan’s broader policy commitment to establishing a world-class research university. NU was explicitly designed as a highly selective, English-medium, research-intensive institution intended both to compete internationally and to serve the country by educating its most talented students (Hartley &amp; Ruby, 2025). Our findings highlight the narrow operational definition of “talent” implied by observed enrollment patterns. In practice, the talent recognized through NU admissions is closely tied to prior access to specific educational opportunities and forms of cultural capital, including advanced English proficiency, familiarity with standardized testing regimes, and exposure to elite academic pathways. Students from rural and mainstream urban schools are not inherently less capable or less talented; rather, they are less likely to have had access to the preparatory resources that NU’s admissions system rewards. As a result, NU’s admissions inadvertently concentrate access among students already embedded in selective schooling pathways, rather than fully </w:t>
      </w:r>
      <w:proofErr w:type="gramStart"/>
      <w:r>
        <w:rPr>
          <w:rFonts w:ascii="Times New Roman" w:eastAsia="Times New Roman" w:hAnsi="Times New Roman" w:cs="Times New Roman"/>
          <w:sz w:val="24"/>
          <w:szCs w:val="24"/>
          <w:highlight w:val="white"/>
        </w:rPr>
        <w:t>identifying</w:t>
      </w:r>
      <w:proofErr w:type="gramEnd"/>
      <w:r>
        <w:rPr>
          <w:rFonts w:ascii="Times New Roman" w:eastAsia="Times New Roman" w:hAnsi="Times New Roman" w:cs="Times New Roman"/>
          <w:sz w:val="24"/>
          <w:szCs w:val="24"/>
          <w:highlight w:val="white"/>
        </w:rPr>
        <w:t xml:space="preserve"> and cultivating talent across the broader population of Kazakhstan’s youth.</w:t>
      </w:r>
      <w:r>
        <w:rPr>
          <w:rFonts w:ascii="Times New Roman" w:eastAsia="Times New Roman" w:hAnsi="Times New Roman" w:cs="Times New Roman"/>
          <w:sz w:val="24"/>
          <w:szCs w:val="24"/>
          <w:highlight w:val="white"/>
          <w:vertAlign w:val="superscript"/>
        </w:rPr>
        <w:footnoteReference w:id="12"/>
      </w:r>
    </w:p>
    <w:p w14:paraId="13C66B7B" w14:textId="77777777" w:rsidR="00892A30" w:rsidRDefault="00892A30" w:rsidP="00892A30">
      <w:pPr>
        <w:keepNext/>
        <w:spacing w:line="240" w:lineRule="auto"/>
        <w:rPr>
          <w:rFonts w:ascii="Times New Roman" w:eastAsia="Times New Roman" w:hAnsi="Times New Roman" w:cs="Times New Roman"/>
          <w:b/>
          <w:bCs/>
          <w:sz w:val="24"/>
          <w:szCs w:val="24"/>
          <w:highlight w:val="white"/>
        </w:rPr>
      </w:pPr>
    </w:p>
    <w:p w14:paraId="4ED76AB7" w14:textId="77777777" w:rsidR="00892A30" w:rsidRDefault="00000000" w:rsidP="00892A30">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While some degree of exclusivity is inherent to the mission of a world-class university (Salmi, 2009), equity concerns are particularly salient in the Kazakhstani context because both NU and the selective secondary schools that supply </w:t>
      </w:r>
      <w:proofErr w:type="gramStart"/>
      <w:r>
        <w:rPr>
          <w:rFonts w:ascii="Times New Roman" w:eastAsia="Times New Roman" w:hAnsi="Times New Roman" w:cs="Times New Roman"/>
          <w:sz w:val="24"/>
          <w:szCs w:val="24"/>
          <w:highlight w:val="white"/>
        </w:rPr>
        <w:t>the majority of</w:t>
      </w:r>
      <w:proofErr w:type="gramEnd"/>
      <w:r>
        <w:rPr>
          <w:rFonts w:ascii="Times New Roman" w:eastAsia="Times New Roman" w:hAnsi="Times New Roman" w:cs="Times New Roman"/>
          <w:sz w:val="24"/>
          <w:szCs w:val="24"/>
          <w:highlight w:val="white"/>
        </w:rPr>
        <w:t xml:space="preserve"> its students are </w:t>
      </w:r>
      <w:r>
        <w:rPr>
          <w:rFonts w:ascii="Times New Roman" w:eastAsia="Times New Roman" w:hAnsi="Times New Roman" w:cs="Times New Roman"/>
          <w:sz w:val="24"/>
          <w:szCs w:val="24"/>
          <w:highlight w:val="white"/>
        </w:rPr>
        <w:lastRenderedPageBreak/>
        <w:t>heavily publicly funded. As a result, public resources simultaneously support the institutions that generate the forms of capital rewarded in elite admissions and the university that ultimately certifies and rewards them. This creates a system in which publicly financed educational investments disproportionately translate into access to a narrow set of elite opportunities. In other words, the architecture of the system risks channeling public investment in ways that reproduce rather than offset early inequalities. The findings therefore suggest that Kazakhstan’s strategy for promoting educational excellence needs to be accompanied by a stronger commitment to equity, particularly in ensuring that access to elite higher education is not primarily determined by prior placement into selective schooling pathways.</w:t>
      </w:r>
    </w:p>
    <w:p w14:paraId="79D33FD6" w14:textId="77777777" w:rsidR="00892A30" w:rsidRDefault="00892A30" w:rsidP="00892A30">
      <w:pPr>
        <w:keepNext/>
        <w:spacing w:line="240" w:lineRule="auto"/>
        <w:rPr>
          <w:rFonts w:ascii="Times New Roman" w:eastAsia="Times New Roman" w:hAnsi="Times New Roman" w:cs="Times New Roman"/>
          <w:b/>
          <w:bCs/>
          <w:sz w:val="24"/>
          <w:szCs w:val="24"/>
          <w:highlight w:val="white"/>
        </w:rPr>
      </w:pPr>
    </w:p>
    <w:p w14:paraId="18A045D9" w14:textId="77777777" w:rsidR="00892A30" w:rsidRDefault="00000000" w:rsidP="00892A30">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The findings point to two policy implications. First, NU and higher education policymakers should strengthen recruitment and outreach strategies to ensure that informational and preparatory barriers do not prevent qualified students outside the selective school networks from applying. Second, education policymakers and secondary school leaders should critically examine application and selection processes into selective schools such as NIS and BIL to ensure broader sociodemographic representation. Proactive outreach and information campaigns, coupled with targeted support for preparing for admission to selective secondary schools, could serve as an effective lever for broadening the pool of NU applicants (</w:t>
      </w:r>
      <w:proofErr w:type="spellStart"/>
      <w:r>
        <w:rPr>
          <w:rFonts w:ascii="Times New Roman" w:eastAsia="Times New Roman" w:hAnsi="Times New Roman" w:cs="Times New Roman"/>
          <w:sz w:val="24"/>
          <w:szCs w:val="24"/>
          <w:highlight w:val="white"/>
        </w:rPr>
        <w:t>Dynarski</w:t>
      </w:r>
      <w:proofErr w:type="spellEnd"/>
      <w:r>
        <w:rPr>
          <w:rFonts w:ascii="Times New Roman" w:eastAsia="Times New Roman" w:hAnsi="Times New Roman" w:cs="Times New Roman"/>
          <w:sz w:val="24"/>
          <w:szCs w:val="24"/>
          <w:highlight w:val="white"/>
        </w:rPr>
        <w:t xml:space="preserve"> et al., 2023; Page &amp; </w:t>
      </w:r>
      <w:proofErr w:type="spellStart"/>
      <w:r>
        <w:rPr>
          <w:rFonts w:ascii="Times New Roman" w:eastAsia="Times New Roman" w:hAnsi="Times New Roman" w:cs="Times New Roman"/>
          <w:sz w:val="24"/>
          <w:szCs w:val="24"/>
          <w:highlight w:val="white"/>
        </w:rPr>
        <w:t>Nurshatayeva</w:t>
      </w:r>
      <w:proofErr w:type="spellEnd"/>
      <w:r>
        <w:rPr>
          <w:rFonts w:ascii="Times New Roman" w:eastAsia="Times New Roman" w:hAnsi="Times New Roman" w:cs="Times New Roman"/>
          <w:sz w:val="24"/>
          <w:szCs w:val="24"/>
          <w:highlight w:val="white"/>
        </w:rPr>
        <w:t xml:space="preserve">, 2022). </w:t>
      </w:r>
    </w:p>
    <w:p w14:paraId="57718CC8" w14:textId="77777777" w:rsidR="00892A30" w:rsidRDefault="00892A30" w:rsidP="00892A30">
      <w:pPr>
        <w:keepNext/>
        <w:spacing w:line="240" w:lineRule="auto"/>
        <w:rPr>
          <w:rFonts w:ascii="Times New Roman" w:eastAsia="Times New Roman" w:hAnsi="Times New Roman" w:cs="Times New Roman"/>
          <w:b/>
          <w:bCs/>
          <w:sz w:val="24"/>
          <w:szCs w:val="24"/>
          <w:highlight w:val="white"/>
        </w:rPr>
      </w:pPr>
    </w:p>
    <w:p w14:paraId="6EF7CA81" w14:textId="04A13E27" w:rsidR="00892A30" w:rsidRDefault="00000000" w:rsidP="00892A30">
      <w:pPr>
        <w:keepNext/>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Finally, this study highlights several directions for future research. Longitudinal research tracing student trajectories from primary schooling through university enrollment and completion would deepen understanding of when and how barriers to postsecondary access are formed and should be addressed. Further research is also needed on the application to, preparation for, and admission into exam-based selective schools such as NIS and BIL, where much of the stratification observed in this study appears to originate. Finally, causal research examining the effects of attending elite universities like NU on labor market outcomes and nonmonetary outcomes, such as residence in Kazakhstan and civic engagement, would deepen our understanding of the long-term private and social returns to public investment in world-class universities such as NU.</w:t>
      </w:r>
    </w:p>
    <w:p w14:paraId="38DA001C" w14:textId="1E4316E1" w:rsidR="003D599A" w:rsidRPr="003D599A" w:rsidRDefault="003D599A" w:rsidP="00892A30">
      <w:pPr>
        <w:keepNext/>
        <w:spacing w:line="240" w:lineRule="auto"/>
        <w:rPr>
          <w:rFonts w:ascii="Times New Roman" w:eastAsia="Times New Roman" w:hAnsi="Times New Roman" w:cs="Times New Roman"/>
          <w:sz w:val="24"/>
          <w:szCs w:val="24"/>
          <w:highlight w:val="white"/>
        </w:rPr>
      </w:pPr>
    </w:p>
    <w:p w14:paraId="5F010312" w14:textId="77777777" w:rsidR="003D599A" w:rsidRPr="003D599A" w:rsidRDefault="003D599A" w:rsidP="003D599A">
      <w:pPr>
        <w:spacing w:line="240" w:lineRule="auto"/>
        <w:rPr>
          <w:rFonts w:ascii="Times New Roman" w:eastAsia="Times New Roman" w:hAnsi="Times New Roman" w:cs="Times New Roman"/>
          <w:sz w:val="24"/>
          <w:szCs w:val="24"/>
          <w:highlight w:val="white"/>
        </w:rPr>
      </w:pPr>
      <w:r w:rsidRPr="003D599A">
        <w:rPr>
          <w:rFonts w:ascii="Times New Roman" w:eastAsia="Times New Roman" w:hAnsi="Times New Roman" w:cs="Times New Roman"/>
          <w:b/>
          <w:bCs/>
          <w:sz w:val="24"/>
          <w:szCs w:val="24"/>
          <w:highlight w:val="white"/>
        </w:rPr>
        <w:t>The funding statement:</w:t>
      </w:r>
      <w:r w:rsidRPr="003D599A">
        <w:rPr>
          <w:rFonts w:ascii="Times New Roman" w:eastAsia="Times New Roman" w:hAnsi="Times New Roman" w:cs="Times New Roman"/>
          <w:sz w:val="24"/>
          <w:szCs w:val="24"/>
          <w:highlight w:val="white"/>
        </w:rPr>
        <w:t> This research has been funded by the Committee of Science of the Ministry of Science and Higher Education of the Republic of Kazakhstan (Grant No. BR24993019).</w:t>
      </w:r>
    </w:p>
    <w:p w14:paraId="09DF5022" w14:textId="77777777" w:rsidR="00892A30" w:rsidRDefault="00892A30" w:rsidP="00892A30">
      <w:pPr>
        <w:keepNext/>
        <w:spacing w:line="240" w:lineRule="auto"/>
      </w:pPr>
    </w:p>
    <w:p w14:paraId="2D15F967" w14:textId="3320BC29" w:rsidR="004C7857" w:rsidRDefault="00000000" w:rsidP="00892A30">
      <w:pPr>
        <w:keepNext/>
        <w:spacing w:line="240"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References</w:t>
      </w:r>
    </w:p>
    <w:p w14:paraId="44E4553E" w14:textId="77777777" w:rsidR="00892A30" w:rsidRDefault="00892A30" w:rsidP="00892A30">
      <w:pPr>
        <w:spacing w:line="240" w:lineRule="auto"/>
        <w:rPr>
          <w:rFonts w:ascii="Times New Roman" w:eastAsia="Times New Roman" w:hAnsi="Times New Roman" w:cs="Times New Roman"/>
          <w:color w:val="222222"/>
          <w:sz w:val="24"/>
          <w:szCs w:val="24"/>
          <w:highlight w:val="white"/>
        </w:rPr>
      </w:pPr>
    </w:p>
    <w:p w14:paraId="3F0D9D97"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Agresti</w:t>
      </w:r>
      <w:proofErr w:type="spellEnd"/>
      <w:r>
        <w:rPr>
          <w:rFonts w:ascii="Times New Roman" w:eastAsia="Times New Roman" w:hAnsi="Times New Roman" w:cs="Times New Roman"/>
          <w:color w:val="222222"/>
          <w:sz w:val="24"/>
          <w:szCs w:val="24"/>
          <w:highlight w:val="white"/>
        </w:rPr>
        <w:t xml:space="preserve">, A., &amp; Finlay, B. (2009). </w:t>
      </w:r>
      <w:r>
        <w:rPr>
          <w:rFonts w:ascii="Times New Roman" w:eastAsia="Times New Roman" w:hAnsi="Times New Roman" w:cs="Times New Roman"/>
          <w:i/>
          <w:iCs/>
          <w:color w:val="222222"/>
          <w:sz w:val="24"/>
          <w:szCs w:val="24"/>
          <w:highlight w:val="white"/>
        </w:rPr>
        <w:t>Statistical methods for the social sciences</w:t>
      </w:r>
      <w:r>
        <w:rPr>
          <w:rFonts w:ascii="Times New Roman" w:eastAsia="Times New Roman" w:hAnsi="Times New Roman" w:cs="Times New Roman"/>
          <w:color w:val="222222"/>
          <w:sz w:val="24"/>
          <w:szCs w:val="24"/>
          <w:highlight w:val="white"/>
        </w:rPr>
        <w:t>. Pearson.</w:t>
      </w:r>
    </w:p>
    <w:p w14:paraId="0863740A"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Alon, S. (2009). The evolution of class inequality in higher education: Competition, exclusion, and adaptation. </w:t>
      </w:r>
      <w:r>
        <w:rPr>
          <w:rFonts w:ascii="Times New Roman" w:eastAsia="Times New Roman" w:hAnsi="Times New Roman" w:cs="Times New Roman"/>
          <w:i/>
          <w:iCs/>
          <w:color w:val="222222"/>
          <w:sz w:val="24"/>
          <w:szCs w:val="24"/>
          <w:highlight w:val="white"/>
        </w:rPr>
        <w:t>American Sociological Review, 74</w:t>
      </w:r>
      <w:r>
        <w:rPr>
          <w:rFonts w:ascii="Times New Roman" w:eastAsia="Times New Roman" w:hAnsi="Times New Roman" w:cs="Times New Roman"/>
          <w:color w:val="222222"/>
          <w:sz w:val="24"/>
          <w:szCs w:val="24"/>
          <w:highlight w:val="white"/>
        </w:rPr>
        <w:t xml:space="preserve">(5), 731–755. </w:t>
      </w:r>
      <w:hyperlink r:id="rId14">
        <w:r>
          <w:rPr>
            <w:rFonts w:ascii="Times New Roman" w:eastAsia="Times New Roman" w:hAnsi="Times New Roman" w:cs="Times New Roman"/>
            <w:color w:val="0000FF"/>
            <w:sz w:val="24"/>
            <w:szCs w:val="24"/>
            <w:highlight w:val="white"/>
            <w:u w:val="single"/>
          </w:rPr>
          <w:t>https://doi.org/10.1177/000312240907400503</w:t>
        </w:r>
      </w:hyperlink>
      <w:r>
        <w:rPr>
          <w:rFonts w:ascii="Times New Roman" w:eastAsia="Times New Roman" w:hAnsi="Times New Roman" w:cs="Times New Roman"/>
          <w:color w:val="222222"/>
          <w:sz w:val="24"/>
          <w:szCs w:val="24"/>
          <w:highlight w:val="white"/>
        </w:rPr>
        <w:t xml:space="preserve"> </w:t>
      </w:r>
    </w:p>
    <w:p w14:paraId="6A67505D"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Angrist, J. D., &amp; </w:t>
      </w:r>
      <w:proofErr w:type="spellStart"/>
      <w:r>
        <w:rPr>
          <w:rFonts w:ascii="Times New Roman" w:eastAsia="Times New Roman" w:hAnsi="Times New Roman" w:cs="Times New Roman"/>
          <w:color w:val="222222"/>
          <w:sz w:val="24"/>
          <w:szCs w:val="24"/>
          <w:highlight w:val="white"/>
        </w:rPr>
        <w:t>Pischke</w:t>
      </w:r>
      <w:proofErr w:type="spellEnd"/>
      <w:r>
        <w:rPr>
          <w:rFonts w:ascii="Times New Roman" w:eastAsia="Times New Roman" w:hAnsi="Times New Roman" w:cs="Times New Roman"/>
          <w:color w:val="222222"/>
          <w:sz w:val="24"/>
          <w:szCs w:val="24"/>
          <w:highlight w:val="white"/>
        </w:rPr>
        <w:t xml:space="preserve">, J. S. (2009). </w:t>
      </w:r>
      <w:r>
        <w:rPr>
          <w:rFonts w:ascii="Times New Roman" w:eastAsia="Times New Roman" w:hAnsi="Times New Roman" w:cs="Times New Roman"/>
          <w:i/>
          <w:iCs/>
          <w:color w:val="222222"/>
          <w:sz w:val="24"/>
          <w:szCs w:val="24"/>
          <w:highlight w:val="white"/>
        </w:rPr>
        <w:t>Mostly harmless econometrics: An empiricist's companion</w:t>
      </w:r>
      <w:r>
        <w:rPr>
          <w:rFonts w:ascii="Times New Roman" w:eastAsia="Times New Roman" w:hAnsi="Times New Roman" w:cs="Times New Roman"/>
          <w:color w:val="222222"/>
          <w:sz w:val="24"/>
          <w:szCs w:val="24"/>
          <w:highlight w:val="white"/>
        </w:rPr>
        <w:t>. Princeton University Press.</w:t>
      </w:r>
    </w:p>
    <w:p w14:paraId="1882EA7C" w14:textId="77777777" w:rsidR="004C7857" w:rsidRDefault="00000000">
      <w:pPr>
        <w:spacing w:line="24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color w:val="222222"/>
          <w:sz w:val="24"/>
          <w:szCs w:val="24"/>
          <w:highlight w:val="white"/>
        </w:rPr>
        <w:t>Baikenov</w:t>
      </w:r>
      <w:proofErr w:type="spellEnd"/>
      <w:r>
        <w:rPr>
          <w:rFonts w:ascii="Times New Roman" w:eastAsia="Times New Roman" w:hAnsi="Times New Roman" w:cs="Times New Roman"/>
          <w:color w:val="222222"/>
          <w:sz w:val="24"/>
          <w:szCs w:val="24"/>
          <w:highlight w:val="white"/>
        </w:rPr>
        <w:t xml:space="preserve">, K., &amp; </w:t>
      </w:r>
      <w:proofErr w:type="spellStart"/>
      <w:r>
        <w:rPr>
          <w:rFonts w:ascii="Times New Roman" w:eastAsia="Times New Roman" w:hAnsi="Times New Roman" w:cs="Times New Roman"/>
          <w:color w:val="222222"/>
          <w:sz w:val="24"/>
          <w:szCs w:val="24"/>
          <w:highlight w:val="white"/>
        </w:rPr>
        <w:t>Shamatov</w:t>
      </w:r>
      <w:proofErr w:type="spellEnd"/>
      <w:r>
        <w:rPr>
          <w:rFonts w:ascii="Times New Roman" w:eastAsia="Times New Roman" w:hAnsi="Times New Roman" w:cs="Times New Roman"/>
          <w:color w:val="222222"/>
          <w:sz w:val="24"/>
          <w:szCs w:val="24"/>
          <w:highlight w:val="white"/>
        </w:rPr>
        <w:t xml:space="preserve">, D. (2025). Unequal chances: How procedural fairness masks inequality in Kazakhstani university admissions. </w:t>
      </w:r>
      <w:r>
        <w:rPr>
          <w:rFonts w:ascii="Times New Roman" w:eastAsia="Times New Roman" w:hAnsi="Times New Roman" w:cs="Times New Roman"/>
          <w:i/>
          <w:iCs/>
          <w:color w:val="222222"/>
          <w:sz w:val="24"/>
          <w:szCs w:val="24"/>
          <w:highlight w:val="white"/>
        </w:rPr>
        <w:t>International Journal of Educational Development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119</w:t>
      </w:r>
      <w:r>
        <w:rPr>
          <w:rFonts w:ascii="Times New Roman" w:eastAsia="Times New Roman" w:hAnsi="Times New Roman" w:cs="Times New Roman"/>
          <w:color w:val="222222"/>
          <w:sz w:val="24"/>
          <w:szCs w:val="24"/>
          <w:highlight w:val="white"/>
        </w:rPr>
        <w:t xml:space="preserve">, Article 103441. </w:t>
      </w:r>
      <w:hyperlink r:id="rId15">
        <w:r>
          <w:rPr>
            <w:rFonts w:ascii="Times New Roman" w:eastAsia="Times New Roman" w:hAnsi="Times New Roman" w:cs="Times New Roman"/>
            <w:color w:val="0000FF"/>
            <w:sz w:val="24"/>
            <w:szCs w:val="24"/>
            <w:highlight w:val="white"/>
            <w:u w:val="single"/>
          </w:rPr>
          <w:t>https://doi.org/10.1016/j.ijedudev.2025.103441</w:t>
        </w:r>
      </w:hyperlink>
      <w:r>
        <w:rPr>
          <w:rFonts w:ascii="Times New Roman" w:eastAsia="Times New Roman" w:hAnsi="Times New Roman" w:cs="Times New Roman"/>
          <w:color w:val="222222"/>
          <w:sz w:val="24"/>
          <w:szCs w:val="24"/>
          <w:highlight w:val="white"/>
        </w:rPr>
        <w:t xml:space="preserve"> </w:t>
      </w:r>
    </w:p>
    <w:p w14:paraId="716A63B2" w14:textId="77777777" w:rsidR="004C7857" w:rsidRDefault="00000000">
      <w:pPr>
        <w:spacing w:line="240" w:lineRule="auto"/>
        <w:ind w:left="720" w:hanging="720"/>
        <w:rPr>
          <w:rFonts w:ascii="Times New Roman" w:eastAsia="Times New Roman" w:hAnsi="Times New Roman" w:cs="Times New Roman"/>
          <w:b/>
          <w:bCs/>
          <w:sz w:val="24"/>
          <w:szCs w:val="24"/>
          <w:highlight w:val="white"/>
        </w:rPr>
      </w:pPr>
      <w:proofErr w:type="spellStart"/>
      <w:r>
        <w:rPr>
          <w:rFonts w:ascii="Times New Roman" w:eastAsia="Times New Roman" w:hAnsi="Times New Roman" w:cs="Times New Roman"/>
          <w:sz w:val="24"/>
          <w:szCs w:val="24"/>
          <w:highlight w:val="white"/>
        </w:rPr>
        <w:t>Boliver</w:t>
      </w:r>
      <w:proofErr w:type="spellEnd"/>
      <w:r>
        <w:rPr>
          <w:rFonts w:ascii="Times New Roman" w:eastAsia="Times New Roman" w:hAnsi="Times New Roman" w:cs="Times New Roman"/>
          <w:sz w:val="24"/>
          <w:szCs w:val="24"/>
          <w:highlight w:val="white"/>
        </w:rPr>
        <w:t xml:space="preserve">, V. (2013). How fair is access to more prestigious UK universities? </w:t>
      </w:r>
      <w:r>
        <w:rPr>
          <w:rFonts w:ascii="Times New Roman" w:eastAsia="Times New Roman" w:hAnsi="Times New Roman" w:cs="Times New Roman"/>
          <w:i/>
          <w:iCs/>
          <w:sz w:val="24"/>
          <w:szCs w:val="24"/>
          <w:highlight w:val="white"/>
        </w:rPr>
        <w:t>The British Journal of Sociology, 64</w:t>
      </w:r>
      <w:r>
        <w:rPr>
          <w:rFonts w:ascii="Times New Roman" w:eastAsia="Times New Roman" w:hAnsi="Times New Roman" w:cs="Times New Roman"/>
          <w:sz w:val="24"/>
          <w:szCs w:val="24"/>
          <w:highlight w:val="white"/>
        </w:rPr>
        <w:t xml:space="preserve">(2), 344–364. </w:t>
      </w:r>
      <w:hyperlink r:id="rId16">
        <w:r>
          <w:rPr>
            <w:rFonts w:ascii="Times New Roman" w:eastAsia="Times New Roman" w:hAnsi="Times New Roman" w:cs="Times New Roman"/>
            <w:color w:val="0000FF"/>
            <w:sz w:val="24"/>
            <w:szCs w:val="24"/>
            <w:highlight w:val="white"/>
            <w:u w:val="single"/>
          </w:rPr>
          <w:t>https://doi.org/10.1111/1468-4446.12021</w:t>
        </w:r>
      </w:hyperlink>
      <w:r>
        <w:rPr>
          <w:rFonts w:ascii="Times New Roman" w:eastAsia="Times New Roman" w:hAnsi="Times New Roman" w:cs="Times New Roman"/>
          <w:sz w:val="24"/>
          <w:szCs w:val="24"/>
          <w:highlight w:val="white"/>
        </w:rPr>
        <w:t xml:space="preserve"> </w:t>
      </w:r>
    </w:p>
    <w:p w14:paraId="197F9CE7" w14:textId="77777777" w:rsidR="004C7857" w:rsidRDefault="00000000">
      <w:pPr>
        <w:spacing w:line="24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color w:val="222222"/>
          <w:sz w:val="24"/>
          <w:szCs w:val="24"/>
          <w:highlight w:val="white"/>
        </w:rPr>
        <w:lastRenderedPageBreak/>
        <w:t>Boliver</w:t>
      </w:r>
      <w:proofErr w:type="spellEnd"/>
      <w:r>
        <w:rPr>
          <w:rFonts w:ascii="Times New Roman" w:eastAsia="Times New Roman" w:hAnsi="Times New Roman" w:cs="Times New Roman"/>
          <w:color w:val="222222"/>
          <w:sz w:val="24"/>
          <w:szCs w:val="24"/>
          <w:highlight w:val="white"/>
        </w:rPr>
        <w:t xml:space="preserve">, V., Banerjee, P., </w:t>
      </w:r>
      <w:proofErr w:type="spellStart"/>
      <w:r>
        <w:rPr>
          <w:rFonts w:ascii="Times New Roman" w:eastAsia="Times New Roman" w:hAnsi="Times New Roman" w:cs="Times New Roman"/>
          <w:color w:val="222222"/>
          <w:sz w:val="24"/>
          <w:szCs w:val="24"/>
          <w:highlight w:val="white"/>
        </w:rPr>
        <w:t>Gorard</w:t>
      </w:r>
      <w:proofErr w:type="spellEnd"/>
      <w:r>
        <w:rPr>
          <w:rFonts w:ascii="Times New Roman" w:eastAsia="Times New Roman" w:hAnsi="Times New Roman" w:cs="Times New Roman"/>
          <w:color w:val="222222"/>
          <w:sz w:val="24"/>
          <w:szCs w:val="24"/>
          <w:highlight w:val="white"/>
        </w:rPr>
        <w:t xml:space="preserve">, S., &amp; Powell, M. (2022). </w:t>
      </w:r>
      <w:proofErr w:type="spellStart"/>
      <w:r>
        <w:rPr>
          <w:rFonts w:ascii="Times New Roman" w:eastAsia="Times New Roman" w:hAnsi="Times New Roman" w:cs="Times New Roman"/>
          <w:color w:val="222222"/>
          <w:sz w:val="24"/>
          <w:szCs w:val="24"/>
          <w:highlight w:val="white"/>
        </w:rPr>
        <w:t>Reconceptualising</w:t>
      </w:r>
      <w:proofErr w:type="spellEnd"/>
      <w:r>
        <w:rPr>
          <w:rFonts w:ascii="Times New Roman" w:eastAsia="Times New Roman" w:hAnsi="Times New Roman" w:cs="Times New Roman"/>
          <w:color w:val="222222"/>
          <w:sz w:val="24"/>
          <w:szCs w:val="24"/>
          <w:highlight w:val="white"/>
        </w:rPr>
        <w:t xml:space="preserve"> fair access to highly academically selective universities. </w:t>
      </w:r>
      <w:r>
        <w:rPr>
          <w:rFonts w:ascii="Times New Roman" w:eastAsia="Times New Roman" w:hAnsi="Times New Roman" w:cs="Times New Roman"/>
          <w:i/>
          <w:iCs/>
          <w:color w:val="222222"/>
          <w:sz w:val="24"/>
          <w:szCs w:val="24"/>
          <w:highlight w:val="white"/>
        </w:rPr>
        <w:t>Higher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84</w:t>
      </w:r>
      <w:r>
        <w:rPr>
          <w:rFonts w:ascii="Times New Roman" w:eastAsia="Times New Roman" w:hAnsi="Times New Roman" w:cs="Times New Roman"/>
          <w:color w:val="222222"/>
          <w:sz w:val="24"/>
          <w:szCs w:val="24"/>
          <w:highlight w:val="white"/>
        </w:rPr>
        <w:t xml:space="preserve">, 85–100. </w:t>
      </w:r>
      <w:hyperlink r:id="rId17">
        <w:r>
          <w:rPr>
            <w:rFonts w:ascii="Times New Roman" w:eastAsia="Times New Roman" w:hAnsi="Times New Roman" w:cs="Times New Roman"/>
            <w:color w:val="0000FF"/>
            <w:sz w:val="24"/>
            <w:szCs w:val="24"/>
            <w:highlight w:val="white"/>
            <w:u w:val="single"/>
          </w:rPr>
          <w:t>https://doi.org/10.1007/s10734-021-00755-y</w:t>
        </w:r>
      </w:hyperlink>
      <w:r>
        <w:rPr>
          <w:rFonts w:ascii="Times New Roman" w:eastAsia="Times New Roman" w:hAnsi="Times New Roman" w:cs="Times New Roman"/>
          <w:sz w:val="24"/>
          <w:szCs w:val="24"/>
          <w:highlight w:val="white"/>
        </w:rPr>
        <w:t xml:space="preserve"> </w:t>
      </w:r>
    </w:p>
    <w:p w14:paraId="4FB2F97F" w14:textId="77777777" w:rsidR="004C7857" w:rsidRDefault="00000000">
      <w:pPr>
        <w:spacing w:line="240" w:lineRule="auto"/>
        <w:ind w:left="720" w:hanging="720"/>
        <w:rPr>
          <w:rFonts w:ascii="Times New Roman" w:eastAsia="Times New Roman" w:hAnsi="Times New Roman" w:cs="Times New Roman"/>
          <w:color w:val="0563C1"/>
          <w:sz w:val="24"/>
          <w:szCs w:val="24"/>
          <w:highlight w:val="white"/>
          <w:u w:val="single"/>
        </w:rPr>
      </w:pPr>
      <w:proofErr w:type="spellStart"/>
      <w:r>
        <w:rPr>
          <w:rFonts w:ascii="Times New Roman" w:eastAsia="Times New Roman" w:hAnsi="Times New Roman" w:cs="Times New Roman"/>
          <w:color w:val="222222"/>
          <w:sz w:val="24"/>
          <w:szCs w:val="24"/>
          <w:highlight w:val="white"/>
        </w:rPr>
        <w:t>Boliver</w:t>
      </w:r>
      <w:proofErr w:type="spellEnd"/>
      <w:r>
        <w:rPr>
          <w:rFonts w:ascii="Times New Roman" w:eastAsia="Times New Roman" w:hAnsi="Times New Roman" w:cs="Times New Roman"/>
          <w:color w:val="222222"/>
          <w:sz w:val="24"/>
          <w:szCs w:val="24"/>
          <w:highlight w:val="white"/>
        </w:rPr>
        <w:t xml:space="preserve">, V., &amp; Powell, M. (2023). Competing conceptions of fair admission and their implications for supporting students to fulfil their potential at university. </w:t>
      </w:r>
      <w:r>
        <w:rPr>
          <w:rFonts w:ascii="Times New Roman" w:eastAsia="Times New Roman" w:hAnsi="Times New Roman" w:cs="Times New Roman"/>
          <w:i/>
          <w:iCs/>
          <w:color w:val="222222"/>
          <w:sz w:val="24"/>
          <w:szCs w:val="24"/>
          <w:highlight w:val="white"/>
        </w:rPr>
        <w:t>Perspectives: Policy and Practice in Higher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27</w:t>
      </w:r>
      <w:r>
        <w:rPr>
          <w:rFonts w:ascii="Times New Roman" w:eastAsia="Times New Roman" w:hAnsi="Times New Roman" w:cs="Times New Roman"/>
          <w:color w:val="222222"/>
          <w:sz w:val="24"/>
          <w:szCs w:val="24"/>
          <w:highlight w:val="white"/>
        </w:rPr>
        <w:t xml:space="preserve">(1), 8–15. </w:t>
      </w:r>
      <w:hyperlink r:id="rId18">
        <w:r>
          <w:rPr>
            <w:rFonts w:ascii="Times New Roman" w:eastAsia="Times New Roman" w:hAnsi="Times New Roman" w:cs="Times New Roman"/>
            <w:color w:val="0000FF"/>
            <w:sz w:val="24"/>
            <w:szCs w:val="24"/>
            <w:highlight w:val="white"/>
            <w:u w:val="single"/>
          </w:rPr>
          <w:t>https://doi.org/10.1080/13603108.2022.2063429</w:t>
        </w:r>
      </w:hyperlink>
      <w:r>
        <w:rPr>
          <w:rFonts w:ascii="Times New Roman" w:eastAsia="Times New Roman" w:hAnsi="Times New Roman" w:cs="Times New Roman"/>
          <w:color w:val="222222"/>
          <w:sz w:val="24"/>
          <w:szCs w:val="24"/>
          <w:highlight w:val="white"/>
        </w:rPr>
        <w:t xml:space="preserve"> </w:t>
      </w:r>
    </w:p>
    <w:p w14:paraId="201A6417" w14:textId="77777777" w:rsidR="004C7857" w:rsidRDefault="00000000">
      <w:pPr>
        <w:spacing w:line="240" w:lineRule="auto"/>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Bourdieu, P. (1977). Cultural reproduction and social reproduction. In J. </w:t>
      </w:r>
      <w:proofErr w:type="spellStart"/>
      <w:r>
        <w:rPr>
          <w:rFonts w:ascii="Times New Roman" w:eastAsia="Times New Roman" w:hAnsi="Times New Roman" w:cs="Times New Roman"/>
          <w:color w:val="222222"/>
          <w:sz w:val="24"/>
          <w:szCs w:val="24"/>
          <w:highlight w:val="white"/>
        </w:rPr>
        <w:t>Karabel</w:t>
      </w:r>
      <w:proofErr w:type="spellEnd"/>
      <w:r>
        <w:rPr>
          <w:rFonts w:ascii="Times New Roman" w:eastAsia="Times New Roman" w:hAnsi="Times New Roman" w:cs="Times New Roman"/>
          <w:color w:val="222222"/>
          <w:sz w:val="24"/>
          <w:szCs w:val="24"/>
          <w:highlight w:val="white"/>
        </w:rPr>
        <w:t xml:space="preserve">, &amp; A. H. Halsey (Eds.), </w:t>
      </w:r>
      <w:r>
        <w:rPr>
          <w:rFonts w:ascii="Times New Roman" w:eastAsia="Times New Roman" w:hAnsi="Times New Roman" w:cs="Times New Roman"/>
          <w:i/>
          <w:iCs/>
          <w:color w:val="222222"/>
          <w:sz w:val="24"/>
          <w:szCs w:val="24"/>
          <w:highlight w:val="white"/>
        </w:rPr>
        <w:t>Power and ideology in education</w:t>
      </w:r>
      <w:r>
        <w:rPr>
          <w:rFonts w:ascii="Times New Roman" w:eastAsia="Times New Roman" w:hAnsi="Times New Roman" w:cs="Times New Roman"/>
          <w:color w:val="222222"/>
          <w:sz w:val="24"/>
          <w:szCs w:val="24"/>
          <w:highlight w:val="white"/>
        </w:rPr>
        <w:t xml:space="preserve"> (pp. 487–511). Oxford University Press. </w:t>
      </w:r>
    </w:p>
    <w:p w14:paraId="2F7E8FDD" w14:textId="77777777" w:rsidR="004C7857" w:rsidRDefault="00000000">
      <w:pPr>
        <w:spacing w:line="24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Bourdieu, P. (1986). The forms of capital. In J. G. Richardson (Ed.), </w:t>
      </w:r>
      <w:r>
        <w:rPr>
          <w:rFonts w:ascii="Times New Roman" w:eastAsia="Times New Roman" w:hAnsi="Times New Roman" w:cs="Times New Roman"/>
          <w:i/>
          <w:iCs/>
          <w:sz w:val="24"/>
          <w:szCs w:val="24"/>
          <w:highlight w:val="white"/>
        </w:rPr>
        <w:t>Handbook of theory and research for the sociology of education</w:t>
      </w:r>
      <w:r>
        <w:rPr>
          <w:rFonts w:ascii="Times New Roman" w:eastAsia="Times New Roman" w:hAnsi="Times New Roman" w:cs="Times New Roman"/>
          <w:sz w:val="24"/>
          <w:szCs w:val="24"/>
          <w:highlight w:val="white"/>
        </w:rPr>
        <w:t xml:space="preserve"> (pp. 241–258). Greenwood Press.</w:t>
      </w:r>
    </w:p>
    <w:p w14:paraId="2561CC08"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Bray, M. (2023). Geographies of shadow education: Patterns and forces in the spatial distributions of private supplementary tutoring. </w:t>
      </w:r>
      <w:r>
        <w:rPr>
          <w:rFonts w:ascii="Times New Roman" w:eastAsia="Times New Roman" w:hAnsi="Times New Roman" w:cs="Times New Roman"/>
          <w:i/>
          <w:iCs/>
          <w:color w:val="222222"/>
          <w:sz w:val="24"/>
          <w:szCs w:val="24"/>
          <w:highlight w:val="white"/>
        </w:rPr>
        <w:t>Compare: A Journal of Comparative and International Education, 53</w:t>
      </w:r>
      <w:r>
        <w:rPr>
          <w:rFonts w:ascii="Times New Roman" w:eastAsia="Times New Roman" w:hAnsi="Times New Roman" w:cs="Times New Roman"/>
          <w:color w:val="222222"/>
          <w:sz w:val="24"/>
          <w:szCs w:val="24"/>
          <w:highlight w:val="white"/>
        </w:rPr>
        <w:t xml:space="preserve">(3), 343–360. </w:t>
      </w:r>
      <w:hyperlink r:id="rId19">
        <w:r>
          <w:rPr>
            <w:rFonts w:ascii="Times New Roman" w:eastAsia="Times New Roman" w:hAnsi="Times New Roman" w:cs="Times New Roman"/>
            <w:color w:val="0000FF"/>
            <w:sz w:val="24"/>
            <w:szCs w:val="24"/>
            <w:highlight w:val="white"/>
            <w:u w:val="single"/>
          </w:rPr>
          <w:t>https://doi.org/10.1080/03057925.2021.1915749</w:t>
        </w:r>
      </w:hyperlink>
      <w:r>
        <w:rPr>
          <w:rFonts w:ascii="Times New Roman" w:eastAsia="Times New Roman" w:hAnsi="Times New Roman" w:cs="Times New Roman"/>
          <w:color w:val="222222"/>
          <w:sz w:val="24"/>
          <w:szCs w:val="24"/>
          <w:highlight w:val="white"/>
        </w:rPr>
        <w:t xml:space="preserve"> </w:t>
      </w:r>
    </w:p>
    <w:p w14:paraId="33DD11F8"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Chankseliani</w:t>
      </w:r>
      <w:proofErr w:type="spellEnd"/>
      <w:r>
        <w:rPr>
          <w:rFonts w:ascii="Times New Roman" w:eastAsia="Times New Roman" w:hAnsi="Times New Roman" w:cs="Times New Roman"/>
          <w:color w:val="222222"/>
          <w:sz w:val="24"/>
          <w:szCs w:val="24"/>
          <w:highlight w:val="white"/>
        </w:rPr>
        <w:t xml:space="preserve">, M., </w:t>
      </w:r>
      <w:proofErr w:type="spellStart"/>
      <w:r>
        <w:rPr>
          <w:rFonts w:ascii="Times New Roman" w:eastAsia="Times New Roman" w:hAnsi="Times New Roman" w:cs="Times New Roman"/>
          <w:color w:val="222222"/>
          <w:sz w:val="24"/>
          <w:szCs w:val="24"/>
          <w:highlight w:val="white"/>
        </w:rPr>
        <w:t>Gorgodze</w:t>
      </w:r>
      <w:proofErr w:type="spellEnd"/>
      <w:r>
        <w:rPr>
          <w:rFonts w:ascii="Times New Roman" w:eastAsia="Times New Roman" w:hAnsi="Times New Roman" w:cs="Times New Roman"/>
          <w:color w:val="222222"/>
          <w:sz w:val="24"/>
          <w:szCs w:val="24"/>
          <w:highlight w:val="white"/>
        </w:rPr>
        <w:t xml:space="preserve">, S., </w:t>
      </w:r>
      <w:proofErr w:type="spellStart"/>
      <w:r>
        <w:rPr>
          <w:rFonts w:ascii="Times New Roman" w:eastAsia="Times New Roman" w:hAnsi="Times New Roman" w:cs="Times New Roman"/>
          <w:color w:val="222222"/>
          <w:sz w:val="24"/>
          <w:szCs w:val="24"/>
          <w:highlight w:val="white"/>
        </w:rPr>
        <w:t>Janashia</w:t>
      </w:r>
      <w:proofErr w:type="spellEnd"/>
      <w:r>
        <w:rPr>
          <w:rFonts w:ascii="Times New Roman" w:eastAsia="Times New Roman" w:hAnsi="Times New Roman" w:cs="Times New Roman"/>
          <w:color w:val="222222"/>
          <w:sz w:val="24"/>
          <w:szCs w:val="24"/>
          <w:highlight w:val="white"/>
        </w:rPr>
        <w:t xml:space="preserve">, S., &amp; </w:t>
      </w:r>
      <w:proofErr w:type="spellStart"/>
      <w:r>
        <w:rPr>
          <w:rFonts w:ascii="Times New Roman" w:eastAsia="Times New Roman" w:hAnsi="Times New Roman" w:cs="Times New Roman"/>
          <w:color w:val="222222"/>
          <w:sz w:val="24"/>
          <w:szCs w:val="24"/>
          <w:highlight w:val="white"/>
        </w:rPr>
        <w:t>Kurakbayev</w:t>
      </w:r>
      <w:proofErr w:type="spellEnd"/>
      <w:r>
        <w:rPr>
          <w:rFonts w:ascii="Times New Roman" w:eastAsia="Times New Roman" w:hAnsi="Times New Roman" w:cs="Times New Roman"/>
          <w:color w:val="222222"/>
          <w:sz w:val="24"/>
          <w:szCs w:val="24"/>
          <w:highlight w:val="white"/>
        </w:rPr>
        <w:t xml:space="preserve">, K. (2020). Rural disadvantage in the context of centralized university admissions: A multiple case study of Georgia and Kazakhstan. </w:t>
      </w:r>
      <w:r>
        <w:rPr>
          <w:rFonts w:ascii="Times New Roman" w:eastAsia="Times New Roman" w:hAnsi="Times New Roman" w:cs="Times New Roman"/>
          <w:i/>
          <w:iCs/>
          <w:color w:val="222222"/>
          <w:sz w:val="24"/>
          <w:szCs w:val="24"/>
          <w:highlight w:val="white"/>
        </w:rPr>
        <w:t>Compare: A Journal of Comparative and International Education, 50</w:t>
      </w:r>
      <w:r>
        <w:rPr>
          <w:rFonts w:ascii="Times New Roman" w:eastAsia="Times New Roman" w:hAnsi="Times New Roman" w:cs="Times New Roman"/>
          <w:color w:val="222222"/>
          <w:sz w:val="24"/>
          <w:szCs w:val="24"/>
          <w:highlight w:val="white"/>
        </w:rPr>
        <w:t xml:space="preserve">(7), 995–1013. </w:t>
      </w:r>
      <w:hyperlink r:id="rId20">
        <w:r>
          <w:rPr>
            <w:rFonts w:ascii="Times New Roman" w:eastAsia="Times New Roman" w:hAnsi="Times New Roman" w:cs="Times New Roman"/>
            <w:color w:val="0000FF"/>
            <w:sz w:val="24"/>
            <w:szCs w:val="24"/>
            <w:highlight w:val="white"/>
            <w:u w:val="single"/>
          </w:rPr>
          <w:t>https://doi.org/10.1080/03057925.2020.1761294</w:t>
        </w:r>
      </w:hyperlink>
      <w:r>
        <w:rPr>
          <w:rFonts w:ascii="Times New Roman" w:eastAsia="Times New Roman" w:hAnsi="Times New Roman" w:cs="Times New Roman"/>
          <w:color w:val="222222"/>
          <w:sz w:val="24"/>
          <w:szCs w:val="24"/>
          <w:highlight w:val="white"/>
        </w:rPr>
        <w:t xml:space="preserve"> </w:t>
      </w:r>
    </w:p>
    <w:p w14:paraId="43072060"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Clancy, P., &amp; </w:t>
      </w:r>
      <w:proofErr w:type="spellStart"/>
      <w:r>
        <w:rPr>
          <w:rFonts w:ascii="Times New Roman" w:eastAsia="Times New Roman" w:hAnsi="Times New Roman" w:cs="Times New Roman"/>
          <w:color w:val="222222"/>
          <w:sz w:val="24"/>
          <w:szCs w:val="24"/>
          <w:highlight w:val="white"/>
        </w:rPr>
        <w:t>Goastellec</w:t>
      </w:r>
      <w:proofErr w:type="spellEnd"/>
      <w:r>
        <w:rPr>
          <w:rFonts w:ascii="Times New Roman" w:eastAsia="Times New Roman" w:hAnsi="Times New Roman" w:cs="Times New Roman"/>
          <w:color w:val="222222"/>
          <w:sz w:val="24"/>
          <w:szCs w:val="24"/>
          <w:highlight w:val="white"/>
        </w:rPr>
        <w:t xml:space="preserve">, G. (2007). Exploring access and equity in higher education: Policy and performance in a comparative perspective. </w:t>
      </w:r>
      <w:r>
        <w:rPr>
          <w:rFonts w:ascii="Times New Roman" w:eastAsia="Times New Roman" w:hAnsi="Times New Roman" w:cs="Times New Roman"/>
          <w:i/>
          <w:iCs/>
          <w:color w:val="222222"/>
          <w:sz w:val="24"/>
          <w:szCs w:val="24"/>
          <w:highlight w:val="white"/>
        </w:rPr>
        <w:t>Higher Education Quarterly, 61</w:t>
      </w:r>
      <w:r>
        <w:rPr>
          <w:rFonts w:ascii="Times New Roman" w:eastAsia="Times New Roman" w:hAnsi="Times New Roman" w:cs="Times New Roman"/>
          <w:color w:val="222222"/>
          <w:sz w:val="24"/>
          <w:szCs w:val="24"/>
          <w:highlight w:val="white"/>
        </w:rPr>
        <w:t xml:space="preserve">(2), 136–154. </w:t>
      </w:r>
      <w:hyperlink r:id="rId21">
        <w:r>
          <w:rPr>
            <w:rFonts w:ascii="Times New Roman" w:eastAsia="Times New Roman" w:hAnsi="Times New Roman" w:cs="Times New Roman"/>
            <w:color w:val="0000FF"/>
            <w:sz w:val="24"/>
            <w:szCs w:val="24"/>
            <w:highlight w:val="white"/>
            <w:u w:val="single"/>
          </w:rPr>
          <w:t>https://doi.org/10.1111/j.1468-2273.2007.00343.x</w:t>
        </w:r>
      </w:hyperlink>
      <w:r>
        <w:rPr>
          <w:rFonts w:ascii="Times New Roman" w:eastAsia="Times New Roman" w:hAnsi="Times New Roman" w:cs="Times New Roman"/>
          <w:color w:val="222222"/>
          <w:sz w:val="24"/>
          <w:szCs w:val="24"/>
          <w:highlight w:val="white"/>
        </w:rPr>
        <w:t xml:space="preserve"> </w:t>
      </w:r>
    </w:p>
    <w:p w14:paraId="0371CF15"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Clark, D. (2010). Selective schools and academic achievement. </w:t>
      </w:r>
      <w:r>
        <w:rPr>
          <w:rFonts w:ascii="Times New Roman" w:eastAsia="Times New Roman" w:hAnsi="Times New Roman" w:cs="Times New Roman"/>
          <w:i/>
          <w:iCs/>
          <w:color w:val="222222"/>
          <w:sz w:val="24"/>
          <w:szCs w:val="24"/>
          <w:highlight w:val="white"/>
        </w:rPr>
        <w:t>The BE Journal of Economic Analysis &amp; Policy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10</w:t>
      </w:r>
      <w:r>
        <w:rPr>
          <w:rFonts w:ascii="Times New Roman" w:eastAsia="Times New Roman" w:hAnsi="Times New Roman" w:cs="Times New Roman"/>
          <w:color w:val="222222"/>
          <w:sz w:val="24"/>
          <w:szCs w:val="24"/>
          <w:highlight w:val="white"/>
        </w:rPr>
        <w:t>(1).</w:t>
      </w:r>
      <w:hyperlink r:id="rId22">
        <w:r>
          <w:rPr>
            <w:rFonts w:ascii="Times New Roman" w:eastAsia="Times New Roman" w:hAnsi="Times New Roman" w:cs="Times New Roman"/>
            <w:color w:val="222222"/>
            <w:sz w:val="24"/>
            <w:szCs w:val="24"/>
            <w:highlight w:val="white"/>
          </w:rPr>
          <w:t xml:space="preserve"> </w:t>
        </w:r>
      </w:hyperlink>
      <w:hyperlink r:id="rId23">
        <w:r>
          <w:rPr>
            <w:rFonts w:ascii="Times New Roman" w:eastAsia="Times New Roman" w:hAnsi="Times New Roman" w:cs="Times New Roman"/>
            <w:color w:val="1155CC"/>
            <w:sz w:val="24"/>
            <w:szCs w:val="24"/>
            <w:highlight w:val="white"/>
            <w:u w:val="single"/>
          </w:rPr>
          <w:t>https://doi.org/10.2202/1935-1682.1917</w:t>
        </w:r>
      </w:hyperlink>
    </w:p>
    <w:p w14:paraId="402201B1"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Coleman, J. S., Campbell, E., Hobson, C., McPartland, J., Mood, A., </w:t>
      </w:r>
      <w:proofErr w:type="spellStart"/>
      <w:r>
        <w:rPr>
          <w:rFonts w:ascii="Times New Roman" w:eastAsia="Times New Roman" w:hAnsi="Times New Roman" w:cs="Times New Roman"/>
          <w:color w:val="222222"/>
          <w:sz w:val="24"/>
          <w:szCs w:val="24"/>
          <w:highlight w:val="white"/>
        </w:rPr>
        <w:t>Weinfeld</w:t>
      </w:r>
      <w:proofErr w:type="spellEnd"/>
      <w:r>
        <w:rPr>
          <w:rFonts w:ascii="Times New Roman" w:eastAsia="Times New Roman" w:hAnsi="Times New Roman" w:cs="Times New Roman"/>
          <w:color w:val="222222"/>
          <w:sz w:val="24"/>
          <w:szCs w:val="24"/>
          <w:highlight w:val="white"/>
        </w:rPr>
        <w:t xml:space="preserve">, F., &amp; York, R. (1966). </w:t>
      </w:r>
      <w:r>
        <w:rPr>
          <w:rFonts w:ascii="Times New Roman" w:eastAsia="Times New Roman" w:hAnsi="Times New Roman" w:cs="Times New Roman"/>
          <w:i/>
          <w:iCs/>
          <w:color w:val="222222"/>
          <w:sz w:val="24"/>
          <w:szCs w:val="24"/>
          <w:highlight w:val="white"/>
        </w:rPr>
        <w:t xml:space="preserve">Equality of educational opportunity. </w:t>
      </w:r>
      <w:r>
        <w:rPr>
          <w:rFonts w:ascii="Times New Roman" w:eastAsia="Times New Roman" w:hAnsi="Times New Roman" w:cs="Times New Roman"/>
          <w:color w:val="222222"/>
          <w:sz w:val="24"/>
          <w:szCs w:val="24"/>
          <w:highlight w:val="white"/>
        </w:rPr>
        <w:t>U.S. Department of Health, Education, and Welfare.</w:t>
      </w:r>
    </w:p>
    <w:p w14:paraId="73A7AB74"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Dobbie, W., &amp; Fryer, R. G. (2011). </w:t>
      </w:r>
      <w:r>
        <w:rPr>
          <w:rFonts w:ascii="Times New Roman" w:eastAsia="Times New Roman" w:hAnsi="Times New Roman" w:cs="Times New Roman"/>
          <w:i/>
          <w:iCs/>
          <w:color w:val="222222"/>
          <w:sz w:val="24"/>
          <w:szCs w:val="24"/>
          <w:highlight w:val="white"/>
        </w:rPr>
        <w:t>Exam high schools and academic achievement: Evidence from New York City</w:t>
      </w:r>
      <w:r>
        <w:rPr>
          <w:rFonts w:ascii="Times New Roman" w:eastAsia="Times New Roman" w:hAnsi="Times New Roman" w:cs="Times New Roman"/>
          <w:color w:val="222222"/>
          <w:sz w:val="24"/>
          <w:szCs w:val="24"/>
          <w:highlight w:val="white"/>
        </w:rPr>
        <w:t xml:space="preserve"> (Working Paper No. w17286). National Bureau of Economic Research. </w:t>
      </w:r>
      <w:hyperlink r:id="rId24">
        <w:r>
          <w:rPr>
            <w:rFonts w:ascii="Times New Roman" w:eastAsia="Times New Roman" w:hAnsi="Times New Roman" w:cs="Times New Roman"/>
            <w:color w:val="1155CC"/>
            <w:sz w:val="24"/>
            <w:szCs w:val="24"/>
            <w:highlight w:val="white"/>
            <w:u w:val="single"/>
          </w:rPr>
          <w:t>https://doi.org/10.3386/w17286</w:t>
        </w:r>
      </w:hyperlink>
      <w:r>
        <w:rPr>
          <w:rFonts w:ascii="Times New Roman" w:eastAsia="Times New Roman" w:hAnsi="Times New Roman" w:cs="Times New Roman"/>
          <w:color w:val="222222"/>
          <w:sz w:val="24"/>
          <w:szCs w:val="24"/>
          <w:highlight w:val="white"/>
        </w:rPr>
        <w:t xml:space="preserve"> </w:t>
      </w:r>
    </w:p>
    <w:p w14:paraId="02697E46" w14:textId="77777777" w:rsidR="004C7857" w:rsidRDefault="00000000">
      <w:pPr>
        <w:spacing w:line="24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color w:val="222222"/>
          <w:sz w:val="24"/>
          <w:szCs w:val="24"/>
          <w:highlight w:val="white"/>
        </w:rPr>
        <w:t>Domina</w:t>
      </w:r>
      <w:proofErr w:type="spellEnd"/>
      <w:r>
        <w:rPr>
          <w:rFonts w:ascii="Times New Roman" w:eastAsia="Times New Roman" w:hAnsi="Times New Roman" w:cs="Times New Roman"/>
          <w:color w:val="222222"/>
          <w:sz w:val="24"/>
          <w:szCs w:val="24"/>
          <w:highlight w:val="white"/>
        </w:rPr>
        <w:t xml:space="preserve">, T., Penner, A., &amp; Penner, E. (2017). Categorical inequality: Schools as sorting machines. </w:t>
      </w:r>
      <w:r>
        <w:rPr>
          <w:rFonts w:ascii="Times New Roman" w:eastAsia="Times New Roman" w:hAnsi="Times New Roman" w:cs="Times New Roman"/>
          <w:i/>
          <w:iCs/>
          <w:color w:val="222222"/>
          <w:sz w:val="24"/>
          <w:szCs w:val="24"/>
          <w:highlight w:val="white"/>
        </w:rPr>
        <w:t>Annual Review of Sociology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43</w:t>
      </w:r>
      <w:r>
        <w:rPr>
          <w:rFonts w:ascii="Times New Roman" w:eastAsia="Times New Roman" w:hAnsi="Times New Roman" w:cs="Times New Roman"/>
          <w:color w:val="222222"/>
          <w:sz w:val="24"/>
          <w:szCs w:val="24"/>
          <w:highlight w:val="white"/>
        </w:rPr>
        <w:t xml:space="preserve">, 311–330. </w:t>
      </w:r>
      <w:hyperlink r:id="rId25">
        <w:r>
          <w:rPr>
            <w:rFonts w:ascii="Times New Roman" w:eastAsia="Times New Roman" w:hAnsi="Times New Roman" w:cs="Times New Roman"/>
            <w:color w:val="0000FF"/>
            <w:sz w:val="24"/>
            <w:szCs w:val="24"/>
            <w:highlight w:val="white"/>
            <w:u w:val="single"/>
          </w:rPr>
          <w:t>https://doi.org/10.1146/annurev-soc-060116-053354</w:t>
        </w:r>
      </w:hyperlink>
      <w:r>
        <w:rPr>
          <w:rFonts w:ascii="Times New Roman" w:eastAsia="Times New Roman" w:hAnsi="Times New Roman" w:cs="Times New Roman"/>
          <w:color w:val="222222"/>
          <w:sz w:val="24"/>
          <w:szCs w:val="24"/>
          <w:highlight w:val="white"/>
        </w:rPr>
        <w:t xml:space="preserve"> </w:t>
      </w:r>
    </w:p>
    <w:p w14:paraId="241E0418"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Downey, D. B., &amp; Condron, D. J. (2016). Fifty years since the Coleman Report: Rethinking the relationship between schools and inequality. </w:t>
      </w:r>
      <w:r>
        <w:rPr>
          <w:rFonts w:ascii="Times New Roman" w:eastAsia="Times New Roman" w:hAnsi="Times New Roman" w:cs="Times New Roman"/>
          <w:i/>
          <w:iCs/>
          <w:color w:val="222222"/>
          <w:sz w:val="24"/>
          <w:szCs w:val="24"/>
          <w:highlight w:val="white"/>
        </w:rPr>
        <w:t>Sociology of Education, 89</w:t>
      </w:r>
      <w:r>
        <w:rPr>
          <w:rFonts w:ascii="Times New Roman" w:eastAsia="Times New Roman" w:hAnsi="Times New Roman" w:cs="Times New Roman"/>
          <w:color w:val="222222"/>
          <w:sz w:val="24"/>
          <w:szCs w:val="24"/>
          <w:highlight w:val="white"/>
        </w:rPr>
        <w:t xml:space="preserve">(3), 207–220. </w:t>
      </w:r>
      <w:hyperlink r:id="rId26">
        <w:r>
          <w:rPr>
            <w:rFonts w:ascii="Times New Roman" w:eastAsia="Times New Roman" w:hAnsi="Times New Roman" w:cs="Times New Roman"/>
            <w:color w:val="1155CC"/>
            <w:sz w:val="24"/>
            <w:szCs w:val="24"/>
            <w:highlight w:val="white"/>
            <w:u w:val="single"/>
          </w:rPr>
          <w:t>https://doi.org/10.1177/0038040716651676</w:t>
        </w:r>
      </w:hyperlink>
      <w:r>
        <w:rPr>
          <w:rFonts w:ascii="Times New Roman" w:eastAsia="Times New Roman" w:hAnsi="Times New Roman" w:cs="Times New Roman"/>
          <w:color w:val="222222"/>
          <w:sz w:val="24"/>
          <w:szCs w:val="24"/>
          <w:highlight w:val="white"/>
        </w:rPr>
        <w:t xml:space="preserve"> </w:t>
      </w:r>
    </w:p>
    <w:p w14:paraId="2E8FDD32"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Dynarski</w:t>
      </w:r>
      <w:proofErr w:type="spellEnd"/>
      <w:r>
        <w:rPr>
          <w:rFonts w:ascii="Times New Roman" w:eastAsia="Times New Roman" w:hAnsi="Times New Roman" w:cs="Times New Roman"/>
          <w:color w:val="222222"/>
          <w:sz w:val="24"/>
          <w:szCs w:val="24"/>
          <w:highlight w:val="white"/>
        </w:rPr>
        <w:t xml:space="preserve">, S., </w:t>
      </w:r>
      <w:proofErr w:type="spellStart"/>
      <w:r>
        <w:rPr>
          <w:rFonts w:ascii="Times New Roman" w:eastAsia="Times New Roman" w:hAnsi="Times New Roman" w:cs="Times New Roman"/>
          <w:color w:val="222222"/>
          <w:sz w:val="24"/>
          <w:szCs w:val="24"/>
          <w:highlight w:val="white"/>
        </w:rPr>
        <w:t>Nurshatayeva</w:t>
      </w:r>
      <w:proofErr w:type="spellEnd"/>
      <w:r>
        <w:rPr>
          <w:rFonts w:ascii="Times New Roman" w:eastAsia="Times New Roman" w:hAnsi="Times New Roman" w:cs="Times New Roman"/>
          <w:color w:val="222222"/>
          <w:sz w:val="24"/>
          <w:szCs w:val="24"/>
          <w:highlight w:val="white"/>
        </w:rPr>
        <w:t xml:space="preserve">, A., Page, L. C., &amp; Scott-Clayton, J. (2023). Addressing nonfinancial barriers to college access and success: Evidence and policy implications. In </w:t>
      </w:r>
      <w:r>
        <w:rPr>
          <w:rFonts w:ascii="Times New Roman" w:eastAsia="Times New Roman" w:hAnsi="Times New Roman" w:cs="Times New Roman"/>
          <w:i/>
          <w:iCs/>
          <w:color w:val="222222"/>
          <w:sz w:val="24"/>
          <w:szCs w:val="24"/>
          <w:highlight w:val="white"/>
        </w:rPr>
        <w:t>Handbook of the Economics of Education</w:t>
      </w:r>
      <w:r>
        <w:rPr>
          <w:rFonts w:ascii="Times New Roman" w:eastAsia="Times New Roman" w:hAnsi="Times New Roman" w:cs="Times New Roman"/>
          <w:color w:val="222222"/>
          <w:sz w:val="24"/>
          <w:szCs w:val="24"/>
          <w:highlight w:val="white"/>
        </w:rPr>
        <w:t xml:space="preserve"> (Vol. 6, pp. 319–403). Elsevier. </w:t>
      </w:r>
    </w:p>
    <w:p w14:paraId="602594CA" w14:textId="77777777" w:rsidR="004C7857" w:rsidRDefault="00000000">
      <w:pPr>
        <w:spacing w:line="24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 xml:space="preserve">Farid, S., Abbasi, S. U. R. S., &amp; Mahmood, Q. K. (2021). Modelling </w:t>
      </w:r>
      <w:proofErr w:type="spellStart"/>
      <w:r>
        <w:rPr>
          <w:rFonts w:ascii="Times New Roman" w:eastAsia="Times New Roman" w:hAnsi="Times New Roman" w:cs="Times New Roman"/>
          <w:color w:val="222222"/>
          <w:sz w:val="24"/>
          <w:szCs w:val="24"/>
          <w:highlight w:val="white"/>
        </w:rPr>
        <w:t>Bourdieusian</w:t>
      </w:r>
      <w:proofErr w:type="spellEnd"/>
      <w:r>
        <w:rPr>
          <w:rFonts w:ascii="Times New Roman" w:eastAsia="Times New Roman" w:hAnsi="Times New Roman" w:cs="Times New Roman"/>
          <w:color w:val="222222"/>
          <w:sz w:val="24"/>
          <w:szCs w:val="24"/>
          <w:highlight w:val="white"/>
        </w:rPr>
        <w:t xml:space="preserve"> social reproduction theory. </w:t>
      </w:r>
      <w:r>
        <w:rPr>
          <w:rFonts w:ascii="Times New Roman" w:eastAsia="Times New Roman" w:hAnsi="Times New Roman" w:cs="Times New Roman"/>
          <w:i/>
          <w:iCs/>
          <w:color w:val="222222"/>
          <w:sz w:val="24"/>
          <w:szCs w:val="24"/>
          <w:highlight w:val="white"/>
        </w:rPr>
        <w:t>Social Indicators Research</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157</w:t>
      </w:r>
      <w:r>
        <w:rPr>
          <w:rFonts w:ascii="Times New Roman" w:eastAsia="Times New Roman" w:hAnsi="Times New Roman" w:cs="Times New Roman"/>
          <w:color w:val="222222"/>
          <w:sz w:val="24"/>
          <w:szCs w:val="24"/>
          <w:highlight w:val="white"/>
        </w:rPr>
        <w:t xml:space="preserve">(1), 297–333. </w:t>
      </w:r>
      <w:hyperlink r:id="rId27">
        <w:r>
          <w:rPr>
            <w:rFonts w:ascii="Times New Roman" w:eastAsia="Times New Roman" w:hAnsi="Times New Roman" w:cs="Times New Roman"/>
            <w:color w:val="0000FF"/>
            <w:sz w:val="24"/>
            <w:szCs w:val="24"/>
            <w:highlight w:val="white"/>
            <w:u w:val="single"/>
          </w:rPr>
          <w:t>https://doi.org/10.1007/s11205-021-02649-z</w:t>
        </w:r>
      </w:hyperlink>
      <w:r>
        <w:rPr>
          <w:rFonts w:ascii="Times New Roman" w:eastAsia="Times New Roman" w:hAnsi="Times New Roman" w:cs="Times New Roman"/>
          <w:color w:val="222222"/>
          <w:sz w:val="24"/>
          <w:szCs w:val="24"/>
          <w:highlight w:val="white"/>
        </w:rPr>
        <w:t xml:space="preserve"> </w:t>
      </w:r>
    </w:p>
    <w:p w14:paraId="1CC9EA1E" w14:textId="77777777" w:rsidR="004C7857" w:rsidRDefault="00000000">
      <w:pPr>
        <w:spacing w:line="24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Gamoran, A. (2009). Tracking and inequality: </w:t>
      </w:r>
      <w:proofErr w:type="gramStart"/>
      <w:r>
        <w:rPr>
          <w:rFonts w:ascii="Times New Roman" w:eastAsia="Times New Roman" w:hAnsi="Times New Roman" w:cs="Times New Roman"/>
          <w:sz w:val="24"/>
          <w:szCs w:val="24"/>
          <w:highlight w:val="white"/>
        </w:rPr>
        <w:t>New</w:t>
      </w:r>
      <w:proofErr w:type="gramEnd"/>
      <w:r>
        <w:rPr>
          <w:rFonts w:ascii="Times New Roman" w:eastAsia="Times New Roman" w:hAnsi="Times New Roman" w:cs="Times New Roman"/>
          <w:sz w:val="24"/>
          <w:szCs w:val="24"/>
          <w:highlight w:val="white"/>
        </w:rPr>
        <w:t xml:space="preserve"> directions for research and practice. In M. W. Apple, S. J. Ball, &amp; L. A. </w:t>
      </w:r>
      <w:proofErr w:type="spellStart"/>
      <w:r>
        <w:rPr>
          <w:rFonts w:ascii="Times New Roman" w:eastAsia="Times New Roman" w:hAnsi="Times New Roman" w:cs="Times New Roman"/>
          <w:sz w:val="24"/>
          <w:szCs w:val="24"/>
          <w:highlight w:val="white"/>
        </w:rPr>
        <w:t>Gandin</w:t>
      </w:r>
      <w:proofErr w:type="spellEnd"/>
      <w:r>
        <w:rPr>
          <w:rFonts w:ascii="Times New Roman" w:eastAsia="Times New Roman" w:hAnsi="Times New Roman" w:cs="Times New Roman"/>
          <w:sz w:val="24"/>
          <w:szCs w:val="24"/>
          <w:highlight w:val="white"/>
        </w:rPr>
        <w:t xml:space="preserve"> (Eds.), </w:t>
      </w:r>
      <w:r>
        <w:rPr>
          <w:rFonts w:ascii="Times New Roman" w:eastAsia="Times New Roman" w:hAnsi="Times New Roman" w:cs="Times New Roman"/>
          <w:i/>
          <w:iCs/>
          <w:sz w:val="24"/>
          <w:szCs w:val="24"/>
          <w:highlight w:val="white"/>
        </w:rPr>
        <w:t>The Routledge international handbook of the sociology of education</w:t>
      </w:r>
      <w:r>
        <w:rPr>
          <w:rFonts w:ascii="Times New Roman" w:eastAsia="Times New Roman" w:hAnsi="Times New Roman" w:cs="Times New Roman"/>
          <w:sz w:val="24"/>
          <w:szCs w:val="24"/>
          <w:highlight w:val="white"/>
        </w:rPr>
        <w:t xml:space="preserve"> (pp. 213–228). Routledge. </w:t>
      </w:r>
    </w:p>
    <w:p w14:paraId="0927477C"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Hajar, A., &amp; </w:t>
      </w:r>
      <w:proofErr w:type="spellStart"/>
      <w:r>
        <w:rPr>
          <w:rFonts w:ascii="Times New Roman" w:eastAsia="Times New Roman" w:hAnsi="Times New Roman" w:cs="Times New Roman"/>
          <w:color w:val="222222"/>
          <w:sz w:val="24"/>
          <w:szCs w:val="24"/>
          <w:highlight w:val="white"/>
        </w:rPr>
        <w:t>Karakus</w:t>
      </w:r>
      <w:proofErr w:type="spellEnd"/>
      <w:r>
        <w:rPr>
          <w:rFonts w:ascii="Times New Roman" w:eastAsia="Times New Roman" w:hAnsi="Times New Roman" w:cs="Times New Roman"/>
          <w:color w:val="222222"/>
          <w:sz w:val="24"/>
          <w:szCs w:val="24"/>
          <w:highlight w:val="white"/>
        </w:rPr>
        <w:t xml:space="preserve">, M. (2025). Examining the nature, </w:t>
      </w:r>
      <w:proofErr w:type="gramStart"/>
      <w:r>
        <w:rPr>
          <w:rFonts w:ascii="Times New Roman" w:eastAsia="Times New Roman" w:hAnsi="Times New Roman" w:cs="Times New Roman"/>
          <w:color w:val="222222"/>
          <w:sz w:val="24"/>
          <w:szCs w:val="24"/>
          <w:highlight w:val="white"/>
        </w:rPr>
        <w:t>effectiveness</w:t>
      </w:r>
      <w:proofErr w:type="gramEnd"/>
      <w:r>
        <w:rPr>
          <w:rFonts w:ascii="Times New Roman" w:eastAsia="Times New Roman" w:hAnsi="Times New Roman" w:cs="Times New Roman"/>
          <w:color w:val="222222"/>
          <w:sz w:val="24"/>
          <w:szCs w:val="24"/>
          <w:highlight w:val="white"/>
        </w:rPr>
        <w:t xml:space="preserve"> and implications of shadow education in rural Kazakhstan: A participatory study of primary school students. </w:t>
      </w:r>
      <w:r>
        <w:rPr>
          <w:rFonts w:ascii="Times New Roman" w:eastAsia="Times New Roman" w:hAnsi="Times New Roman" w:cs="Times New Roman"/>
          <w:i/>
          <w:iCs/>
          <w:color w:val="222222"/>
          <w:sz w:val="24"/>
          <w:szCs w:val="24"/>
          <w:highlight w:val="white"/>
        </w:rPr>
        <w:t>British Educational Research Journal, 51</w:t>
      </w:r>
      <w:r>
        <w:rPr>
          <w:rFonts w:ascii="Times New Roman" w:eastAsia="Times New Roman" w:hAnsi="Times New Roman" w:cs="Times New Roman"/>
          <w:color w:val="222222"/>
          <w:sz w:val="24"/>
          <w:szCs w:val="24"/>
          <w:highlight w:val="white"/>
        </w:rPr>
        <w:t>(6), 2607–2634. https://doi.org/10.1002/berj.4192</w:t>
      </w:r>
    </w:p>
    <w:p w14:paraId="42EE1792"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Hartley, M. &amp; Ruby, A. (2025). </w:t>
      </w:r>
      <w:r>
        <w:rPr>
          <w:rFonts w:ascii="Times New Roman" w:eastAsia="Times New Roman" w:hAnsi="Times New Roman" w:cs="Times New Roman"/>
          <w:i/>
          <w:iCs/>
          <w:color w:val="222222"/>
          <w:sz w:val="24"/>
          <w:szCs w:val="24"/>
          <w:highlight w:val="white"/>
        </w:rPr>
        <w:t xml:space="preserve">Pursuing institutional purpose: Profiles of excellence. </w:t>
      </w:r>
      <w:r>
        <w:rPr>
          <w:rFonts w:ascii="Times New Roman" w:eastAsia="Times New Roman" w:hAnsi="Times New Roman" w:cs="Times New Roman"/>
          <w:color w:val="222222"/>
          <w:sz w:val="24"/>
          <w:szCs w:val="24"/>
          <w:highlight w:val="white"/>
        </w:rPr>
        <w:t xml:space="preserve">Cambridge University Press. </w:t>
      </w:r>
    </w:p>
    <w:p w14:paraId="430B065E"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Herbaut</w:t>
      </w:r>
      <w:proofErr w:type="spellEnd"/>
      <w:r>
        <w:rPr>
          <w:rFonts w:ascii="Times New Roman" w:eastAsia="Times New Roman" w:hAnsi="Times New Roman" w:cs="Times New Roman"/>
          <w:color w:val="222222"/>
          <w:sz w:val="24"/>
          <w:szCs w:val="24"/>
          <w:highlight w:val="white"/>
        </w:rPr>
        <w:t xml:space="preserve">, E. (2022). Alternative pathways and social disparities in access to elite higher education institutions. </w:t>
      </w:r>
      <w:r>
        <w:rPr>
          <w:rFonts w:ascii="Times New Roman" w:eastAsia="Times New Roman" w:hAnsi="Times New Roman" w:cs="Times New Roman"/>
          <w:i/>
          <w:iCs/>
          <w:color w:val="222222"/>
          <w:sz w:val="24"/>
          <w:szCs w:val="24"/>
          <w:highlight w:val="white"/>
        </w:rPr>
        <w:t>Higher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84</w:t>
      </w:r>
      <w:r>
        <w:rPr>
          <w:rFonts w:ascii="Times New Roman" w:eastAsia="Times New Roman" w:hAnsi="Times New Roman" w:cs="Times New Roman"/>
          <w:color w:val="222222"/>
          <w:sz w:val="24"/>
          <w:szCs w:val="24"/>
          <w:highlight w:val="white"/>
        </w:rPr>
        <w:t xml:space="preserve">(3), 671–689. </w:t>
      </w:r>
      <w:hyperlink r:id="rId28">
        <w:r>
          <w:rPr>
            <w:rFonts w:ascii="Times New Roman" w:eastAsia="Times New Roman" w:hAnsi="Times New Roman" w:cs="Times New Roman"/>
            <w:color w:val="1155CC"/>
            <w:sz w:val="24"/>
            <w:szCs w:val="24"/>
            <w:highlight w:val="white"/>
            <w:u w:val="single"/>
          </w:rPr>
          <w:t>https://doi.org/10.1007/s10734-021-00794-5</w:t>
        </w:r>
      </w:hyperlink>
      <w:r>
        <w:rPr>
          <w:rFonts w:ascii="Times New Roman" w:eastAsia="Times New Roman" w:hAnsi="Times New Roman" w:cs="Times New Roman"/>
          <w:color w:val="222222"/>
          <w:sz w:val="24"/>
          <w:szCs w:val="24"/>
          <w:highlight w:val="white"/>
        </w:rPr>
        <w:t xml:space="preserve"> </w:t>
      </w:r>
    </w:p>
    <w:p w14:paraId="1900252F"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Hill, C. B., &amp; Winston, G. C. (2010). Low-income students and highly selective private colleges: Geography, searching, and recruiting. </w:t>
      </w:r>
      <w:r>
        <w:rPr>
          <w:rFonts w:ascii="Times New Roman" w:eastAsia="Times New Roman" w:hAnsi="Times New Roman" w:cs="Times New Roman"/>
          <w:i/>
          <w:iCs/>
          <w:color w:val="222222"/>
          <w:sz w:val="24"/>
          <w:szCs w:val="24"/>
          <w:highlight w:val="white"/>
        </w:rPr>
        <w:t>Economics of Education Review</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29</w:t>
      </w:r>
      <w:r>
        <w:rPr>
          <w:rFonts w:ascii="Times New Roman" w:eastAsia="Times New Roman" w:hAnsi="Times New Roman" w:cs="Times New Roman"/>
          <w:color w:val="222222"/>
          <w:sz w:val="24"/>
          <w:szCs w:val="24"/>
          <w:highlight w:val="white"/>
        </w:rPr>
        <w:t xml:space="preserve">(4), 495–503. </w:t>
      </w:r>
      <w:hyperlink r:id="rId29">
        <w:r>
          <w:rPr>
            <w:rFonts w:ascii="Times New Roman" w:eastAsia="Times New Roman" w:hAnsi="Times New Roman" w:cs="Times New Roman"/>
            <w:color w:val="1155CC"/>
            <w:sz w:val="24"/>
            <w:szCs w:val="24"/>
            <w:highlight w:val="white"/>
            <w:u w:val="single"/>
          </w:rPr>
          <w:t>https://hdl.handle.net/10419/58239</w:t>
        </w:r>
      </w:hyperlink>
      <w:r>
        <w:rPr>
          <w:rFonts w:ascii="Times New Roman" w:eastAsia="Times New Roman" w:hAnsi="Times New Roman" w:cs="Times New Roman"/>
          <w:color w:val="222222"/>
          <w:sz w:val="24"/>
          <w:szCs w:val="24"/>
          <w:highlight w:val="white"/>
        </w:rPr>
        <w:t xml:space="preserve"> </w:t>
      </w:r>
    </w:p>
    <w:p w14:paraId="359F382B"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Hwami</w:t>
      </w:r>
      <w:proofErr w:type="spellEnd"/>
      <w:r>
        <w:rPr>
          <w:rFonts w:ascii="Times New Roman" w:eastAsia="Times New Roman" w:hAnsi="Times New Roman" w:cs="Times New Roman"/>
          <w:color w:val="222222"/>
          <w:sz w:val="24"/>
          <w:szCs w:val="24"/>
          <w:highlight w:val="white"/>
        </w:rPr>
        <w:t xml:space="preserve">, M., &amp; </w:t>
      </w:r>
      <w:proofErr w:type="spellStart"/>
      <w:r>
        <w:rPr>
          <w:rFonts w:ascii="Times New Roman" w:eastAsia="Times New Roman" w:hAnsi="Times New Roman" w:cs="Times New Roman"/>
          <w:color w:val="222222"/>
          <w:sz w:val="24"/>
          <w:szCs w:val="24"/>
          <w:highlight w:val="white"/>
        </w:rPr>
        <w:t>Bedeker</w:t>
      </w:r>
      <w:proofErr w:type="spellEnd"/>
      <w:r>
        <w:rPr>
          <w:rFonts w:ascii="Times New Roman" w:eastAsia="Times New Roman" w:hAnsi="Times New Roman" w:cs="Times New Roman"/>
          <w:color w:val="222222"/>
          <w:sz w:val="24"/>
          <w:szCs w:val="24"/>
          <w:highlight w:val="white"/>
        </w:rPr>
        <w:t xml:space="preserve">, M. (2024). Social stratifying Kazakhstan: A </w:t>
      </w:r>
      <w:proofErr w:type="spellStart"/>
      <w:r>
        <w:rPr>
          <w:rFonts w:ascii="Times New Roman" w:eastAsia="Times New Roman" w:hAnsi="Times New Roman" w:cs="Times New Roman"/>
          <w:color w:val="222222"/>
          <w:sz w:val="24"/>
          <w:szCs w:val="24"/>
          <w:highlight w:val="white"/>
        </w:rPr>
        <w:t>Bourdieusian</w:t>
      </w:r>
      <w:proofErr w:type="spellEnd"/>
      <w:r>
        <w:rPr>
          <w:rFonts w:ascii="Times New Roman" w:eastAsia="Times New Roman" w:hAnsi="Times New Roman" w:cs="Times New Roman"/>
          <w:color w:val="222222"/>
          <w:sz w:val="24"/>
          <w:szCs w:val="24"/>
          <w:highlight w:val="white"/>
        </w:rPr>
        <w:t xml:space="preserve"> social reproduction analysis of higher education </w:t>
      </w:r>
      <w:proofErr w:type="spellStart"/>
      <w:r>
        <w:rPr>
          <w:rFonts w:ascii="Times New Roman" w:eastAsia="Times New Roman" w:hAnsi="Times New Roman" w:cs="Times New Roman"/>
          <w:color w:val="222222"/>
          <w:sz w:val="24"/>
          <w:szCs w:val="24"/>
          <w:highlight w:val="white"/>
        </w:rPr>
        <w:t>internationalisation</w:t>
      </w:r>
      <w:proofErr w:type="spellEnd"/>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British Journal of Sociology of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45</w:t>
      </w:r>
      <w:r>
        <w:rPr>
          <w:rFonts w:ascii="Times New Roman" w:eastAsia="Times New Roman" w:hAnsi="Times New Roman" w:cs="Times New Roman"/>
          <w:color w:val="222222"/>
          <w:sz w:val="24"/>
          <w:szCs w:val="24"/>
          <w:highlight w:val="white"/>
        </w:rPr>
        <w:t xml:space="preserve">(2), 210–229. </w:t>
      </w:r>
      <w:hyperlink r:id="rId30">
        <w:r>
          <w:rPr>
            <w:rFonts w:ascii="Times New Roman" w:eastAsia="Times New Roman" w:hAnsi="Times New Roman" w:cs="Times New Roman"/>
            <w:color w:val="0000FF"/>
            <w:sz w:val="24"/>
            <w:szCs w:val="24"/>
            <w:highlight w:val="white"/>
            <w:u w:val="single"/>
          </w:rPr>
          <w:t>https://doi.org/10.1080/01425692.2023.2299966</w:t>
        </w:r>
      </w:hyperlink>
      <w:r>
        <w:rPr>
          <w:rFonts w:ascii="Times New Roman" w:eastAsia="Times New Roman" w:hAnsi="Times New Roman" w:cs="Times New Roman"/>
          <w:color w:val="222222"/>
          <w:sz w:val="24"/>
          <w:szCs w:val="24"/>
          <w:highlight w:val="white"/>
        </w:rPr>
        <w:t xml:space="preserve"> </w:t>
      </w:r>
    </w:p>
    <w:p w14:paraId="383A9706" w14:textId="77777777" w:rsidR="004C7857" w:rsidRDefault="00000000">
      <w:pPr>
        <w:spacing w:line="24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Jencks, C., Smith, M., Acland, H., Bane, M. J., Cohen, D., Gintis, H., </w:t>
      </w:r>
      <w:proofErr w:type="spellStart"/>
      <w:r>
        <w:rPr>
          <w:rFonts w:ascii="Times New Roman" w:eastAsia="Times New Roman" w:hAnsi="Times New Roman" w:cs="Times New Roman"/>
          <w:sz w:val="24"/>
          <w:szCs w:val="24"/>
          <w:highlight w:val="white"/>
        </w:rPr>
        <w:t>Heyns</w:t>
      </w:r>
      <w:proofErr w:type="spellEnd"/>
      <w:r>
        <w:rPr>
          <w:rFonts w:ascii="Times New Roman" w:eastAsia="Times New Roman" w:hAnsi="Times New Roman" w:cs="Times New Roman"/>
          <w:sz w:val="24"/>
          <w:szCs w:val="24"/>
          <w:highlight w:val="white"/>
        </w:rPr>
        <w:t xml:space="preserve">, B., &amp; Michelson, S. (1972). </w:t>
      </w:r>
      <w:r>
        <w:rPr>
          <w:rFonts w:ascii="Times New Roman" w:eastAsia="Times New Roman" w:hAnsi="Times New Roman" w:cs="Times New Roman"/>
          <w:i/>
          <w:iCs/>
          <w:sz w:val="24"/>
          <w:szCs w:val="24"/>
          <w:highlight w:val="white"/>
        </w:rPr>
        <w:t>Inequality: A reassessment of the effect of family and schooling in America.</w:t>
      </w:r>
      <w:r>
        <w:rPr>
          <w:rFonts w:ascii="Times New Roman" w:eastAsia="Times New Roman" w:hAnsi="Times New Roman" w:cs="Times New Roman"/>
          <w:sz w:val="24"/>
          <w:szCs w:val="24"/>
          <w:highlight w:val="white"/>
        </w:rPr>
        <w:t xml:space="preserve"> Basic Books.</w:t>
      </w:r>
    </w:p>
    <w:p w14:paraId="3AC08D02" w14:textId="77777777" w:rsidR="004C7857" w:rsidRDefault="00000000">
      <w:pPr>
        <w:spacing w:line="24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color w:val="222222"/>
          <w:sz w:val="24"/>
          <w:szCs w:val="24"/>
          <w:highlight w:val="white"/>
        </w:rPr>
        <w:t>Jerrim</w:t>
      </w:r>
      <w:proofErr w:type="spellEnd"/>
      <w:r>
        <w:rPr>
          <w:rFonts w:ascii="Times New Roman" w:eastAsia="Times New Roman" w:hAnsi="Times New Roman" w:cs="Times New Roman"/>
          <w:color w:val="222222"/>
          <w:sz w:val="24"/>
          <w:szCs w:val="24"/>
          <w:highlight w:val="white"/>
        </w:rPr>
        <w:t xml:space="preserve">, J., Chmielewski, A. K., &amp; Parker, P. (2015). Socioeconomic inequality in access to high-status colleges: A cross-country comparison. </w:t>
      </w:r>
      <w:r>
        <w:rPr>
          <w:rFonts w:ascii="Times New Roman" w:eastAsia="Times New Roman" w:hAnsi="Times New Roman" w:cs="Times New Roman"/>
          <w:i/>
          <w:iCs/>
          <w:color w:val="222222"/>
          <w:sz w:val="24"/>
          <w:szCs w:val="24"/>
          <w:highlight w:val="white"/>
        </w:rPr>
        <w:t>Research in Social Stratification and Mobility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42</w:t>
      </w:r>
      <w:r>
        <w:rPr>
          <w:rFonts w:ascii="Times New Roman" w:eastAsia="Times New Roman" w:hAnsi="Times New Roman" w:cs="Times New Roman"/>
          <w:color w:val="222222"/>
          <w:sz w:val="24"/>
          <w:szCs w:val="24"/>
          <w:highlight w:val="white"/>
        </w:rPr>
        <w:t>, 20–32.</w:t>
      </w:r>
      <w:r>
        <w:rPr>
          <w:rFonts w:ascii="Times New Roman" w:eastAsia="Times New Roman" w:hAnsi="Times New Roman" w:cs="Times New Roman"/>
          <w:sz w:val="24"/>
          <w:szCs w:val="24"/>
          <w:highlight w:val="white"/>
        </w:rPr>
        <w:t xml:space="preserve"> </w:t>
      </w:r>
      <w:hyperlink r:id="rId31">
        <w:r>
          <w:rPr>
            <w:rFonts w:ascii="Times New Roman" w:eastAsia="Times New Roman" w:hAnsi="Times New Roman" w:cs="Times New Roman"/>
            <w:color w:val="1155CC"/>
            <w:sz w:val="24"/>
            <w:szCs w:val="24"/>
            <w:highlight w:val="white"/>
            <w:u w:val="single"/>
          </w:rPr>
          <w:t>https://doi.org/10.1016/j.rssm.2015.06.003</w:t>
        </w:r>
      </w:hyperlink>
      <w:r>
        <w:rPr>
          <w:rFonts w:ascii="Times New Roman" w:eastAsia="Times New Roman" w:hAnsi="Times New Roman" w:cs="Times New Roman"/>
          <w:sz w:val="24"/>
          <w:szCs w:val="24"/>
          <w:highlight w:val="white"/>
        </w:rPr>
        <w:t xml:space="preserve"> </w:t>
      </w:r>
    </w:p>
    <w:p w14:paraId="07EE58AD"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highlight w:val="white"/>
        </w:rPr>
        <w:t xml:space="preserve">Jordan, W. J. (2010). Defining equity: Multiple perspectives to analyzing the performance of diverse learners. </w:t>
      </w:r>
      <w:r>
        <w:rPr>
          <w:rFonts w:ascii="Times New Roman" w:eastAsia="Times New Roman" w:hAnsi="Times New Roman" w:cs="Times New Roman"/>
          <w:i/>
          <w:iCs/>
          <w:sz w:val="24"/>
          <w:szCs w:val="24"/>
          <w:highlight w:val="white"/>
        </w:rPr>
        <w:t>Review of Research in Education, 34</w:t>
      </w:r>
      <w:r>
        <w:rPr>
          <w:rFonts w:ascii="Times New Roman" w:eastAsia="Times New Roman" w:hAnsi="Times New Roman" w:cs="Times New Roman"/>
          <w:sz w:val="24"/>
          <w:szCs w:val="24"/>
          <w:highlight w:val="white"/>
        </w:rPr>
        <w:t>(1), 142–178</w:t>
      </w:r>
      <w:r>
        <w:rPr>
          <w:rFonts w:ascii="Times New Roman" w:eastAsia="Times New Roman" w:hAnsi="Times New Roman" w:cs="Times New Roman"/>
          <w:color w:val="222222"/>
          <w:sz w:val="24"/>
          <w:szCs w:val="24"/>
          <w:highlight w:val="white"/>
        </w:rPr>
        <w:t xml:space="preserve">. </w:t>
      </w:r>
      <w:hyperlink r:id="rId32">
        <w:r>
          <w:rPr>
            <w:rFonts w:ascii="Times New Roman" w:eastAsia="Times New Roman" w:hAnsi="Times New Roman" w:cs="Times New Roman"/>
            <w:color w:val="0000FF"/>
            <w:sz w:val="24"/>
            <w:szCs w:val="24"/>
            <w:highlight w:val="white"/>
            <w:u w:val="single"/>
          </w:rPr>
          <w:t>https://doi.org/10.3102/0091732X09352898</w:t>
        </w:r>
      </w:hyperlink>
      <w:r>
        <w:rPr>
          <w:rFonts w:ascii="Times New Roman" w:eastAsia="Times New Roman" w:hAnsi="Times New Roman" w:cs="Times New Roman"/>
          <w:color w:val="222222"/>
          <w:sz w:val="24"/>
          <w:szCs w:val="24"/>
          <w:highlight w:val="white"/>
        </w:rPr>
        <w:t xml:space="preserve"> </w:t>
      </w:r>
    </w:p>
    <w:p w14:paraId="5DCC9B3E"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Katsu, S., &amp; </w:t>
      </w:r>
      <w:proofErr w:type="spellStart"/>
      <w:r>
        <w:rPr>
          <w:rFonts w:ascii="Times New Roman" w:eastAsia="Times New Roman" w:hAnsi="Times New Roman" w:cs="Times New Roman"/>
          <w:color w:val="222222"/>
          <w:sz w:val="24"/>
          <w:szCs w:val="24"/>
          <w:highlight w:val="white"/>
        </w:rPr>
        <w:t>Saniyazova</w:t>
      </w:r>
      <w:proofErr w:type="spellEnd"/>
      <w:r>
        <w:rPr>
          <w:rFonts w:ascii="Times New Roman" w:eastAsia="Times New Roman" w:hAnsi="Times New Roman" w:cs="Times New Roman"/>
          <w:color w:val="222222"/>
          <w:sz w:val="24"/>
          <w:szCs w:val="24"/>
          <w:highlight w:val="white"/>
        </w:rPr>
        <w:t xml:space="preserve">, A. (2018). A world-class experiment in Kazakhstan: Nazarbayev University. In P. G. </w:t>
      </w:r>
      <w:proofErr w:type="spellStart"/>
      <w:r>
        <w:rPr>
          <w:rFonts w:ascii="Times New Roman" w:eastAsia="Times New Roman" w:hAnsi="Times New Roman" w:cs="Times New Roman"/>
          <w:color w:val="222222"/>
          <w:sz w:val="24"/>
          <w:szCs w:val="24"/>
          <w:highlight w:val="white"/>
        </w:rPr>
        <w:t>Altbach</w:t>
      </w:r>
      <w:proofErr w:type="spellEnd"/>
      <w:r>
        <w:rPr>
          <w:rFonts w:ascii="Times New Roman" w:eastAsia="Times New Roman" w:hAnsi="Times New Roman" w:cs="Times New Roman"/>
          <w:color w:val="222222"/>
          <w:sz w:val="24"/>
          <w:szCs w:val="24"/>
          <w:highlight w:val="white"/>
        </w:rPr>
        <w:t xml:space="preserve">, L. Reisberg, J. Salmi, &amp; I. </w:t>
      </w:r>
      <w:proofErr w:type="spellStart"/>
      <w:r>
        <w:rPr>
          <w:rFonts w:ascii="Times New Roman" w:eastAsia="Times New Roman" w:hAnsi="Times New Roman" w:cs="Times New Roman"/>
          <w:color w:val="222222"/>
          <w:sz w:val="24"/>
          <w:szCs w:val="24"/>
          <w:highlight w:val="white"/>
        </w:rPr>
        <w:t>Froumin</w:t>
      </w:r>
      <w:proofErr w:type="spellEnd"/>
      <w:r>
        <w:rPr>
          <w:rFonts w:ascii="Times New Roman" w:eastAsia="Times New Roman" w:hAnsi="Times New Roman" w:cs="Times New Roman"/>
          <w:color w:val="222222"/>
          <w:sz w:val="24"/>
          <w:szCs w:val="24"/>
          <w:highlight w:val="white"/>
        </w:rPr>
        <w:t xml:space="preserve"> (Eds.), </w:t>
      </w:r>
      <w:r>
        <w:rPr>
          <w:rFonts w:ascii="Times New Roman" w:eastAsia="Times New Roman" w:hAnsi="Times New Roman" w:cs="Times New Roman"/>
          <w:i/>
          <w:iCs/>
          <w:color w:val="222222"/>
          <w:sz w:val="24"/>
          <w:szCs w:val="24"/>
          <w:highlight w:val="white"/>
        </w:rPr>
        <w:t>Accelerated universities: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color w:val="222222"/>
          <w:sz w:val="24"/>
          <w:szCs w:val="24"/>
          <w:highlight w:val="white"/>
        </w:rPr>
        <w:t>Ideas and money combine to build academic excellence</w:t>
      </w:r>
      <w:r>
        <w:rPr>
          <w:rFonts w:ascii="Times New Roman" w:eastAsia="Times New Roman" w:hAnsi="Times New Roman" w:cs="Times New Roman"/>
          <w:color w:val="222222"/>
          <w:sz w:val="24"/>
          <w:szCs w:val="24"/>
          <w:highlight w:val="white"/>
        </w:rPr>
        <w:t xml:space="preserve"> (pp. 68–85). Brill. </w:t>
      </w:r>
      <w:hyperlink r:id="rId33">
        <w:r>
          <w:rPr>
            <w:rFonts w:ascii="Times New Roman" w:eastAsia="Times New Roman" w:hAnsi="Times New Roman" w:cs="Times New Roman"/>
            <w:color w:val="0000FF"/>
            <w:sz w:val="24"/>
            <w:szCs w:val="24"/>
            <w:highlight w:val="white"/>
            <w:u w:val="single"/>
          </w:rPr>
          <w:t>https://doi.org/10.1163/9789004366107_005</w:t>
        </w:r>
      </w:hyperlink>
      <w:r>
        <w:rPr>
          <w:rFonts w:ascii="Times New Roman" w:eastAsia="Times New Roman" w:hAnsi="Times New Roman" w:cs="Times New Roman"/>
          <w:color w:val="222222"/>
          <w:sz w:val="24"/>
          <w:szCs w:val="24"/>
          <w:highlight w:val="white"/>
        </w:rPr>
        <w:t xml:space="preserve"> </w:t>
      </w:r>
    </w:p>
    <w:p w14:paraId="0D6C94C9"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Kemelbayeva</w:t>
      </w:r>
      <w:proofErr w:type="spellEnd"/>
      <w:r>
        <w:rPr>
          <w:rFonts w:ascii="Times New Roman" w:eastAsia="Times New Roman" w:hAnsi="Times New Roman" w:cs="Times New Roman"/>
          <w:color w:val="222222"/>
          <w:sz w:val="24"/>
          <w:szCs w:val="24"/>
          <w:highlight w:val="white"/>
        </w:rPr>
        <w:t xml:space="preserve">, S., &amp; </w:t>
      </w:r>
      <w:proofErr w:type="spellStart"/>
      <w:r>
        <w:rPr>
          <w:rFonts w:ascii="Times New Roman" w:eastAsia="Times New Roman" w:hAnsi="Times New Roman" w:cs="Times New Roman"/>
          <w:color w:val="222222"/>
          <w:sz w:val="24"/>
          <w:szCs w:val="24"/>
          <w:highlight w:val="white"/>
        </w:rPr>
        <w:t>Kurmanov</w:t>
      </w:r>
      <w:proofErr w:type="spellEnd"/>
      <w:r>
        <w:rPr>
          <w:rFonts w:ascii="Times New Roman" w:eastAsia="Times New Roman" w:hAnsi="Times New Roman" w:cs="Times New Roman"/>
          <w:color w:val="222222"/>
          <w:sz w:val="24"/>
          <w:szCs w:val="24"/>
          <w:highlight w:val="white"/>
        </w:rPr>
        <w:t xml:space="preserve">, B. (2024). Elite schools and educational inequality: Evidence from a private university in Kazakhstan. </w:t>
      </w:r>
      <w:r>
        <w:rPr>
          <w:rFonts w:ascii="Times New Roman" w:eastAsia="Times New Roman" w:hAnsi="Times New Roman" w:cs="Times New Roman"/>
          <w:i/>
          <w:iCs/>
          <w:color w:val="222222"/>
          <w:sz w:val="24"/>
          <w:szCs w:val="24"/>
          <w:highlight w:val="white"/>
        </w:rPr>
        <w:t>International Journal of Educational Research</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127</w:t>
      </w:r>
      <w:r>
        <w:rPr>
          <w:rFonts w:ascii="Times New Roman" w:eastAsia="Times New Roman" w:hAnsi="Times New Roman" w:cs="Times New Roman"/>
          <w:color w:val="222222"/>
          <w:sz w:val="24"/>
          <w:szCs w:val="24"/>
          <w:highlight w:val="white"/>
        </w:rPr>
        <w:t xml:space="preserve">, Article 102413. </w:t>
      </w:r>
      <w:hyperlink r:id="rId34">
        <w:r>
          <w:rPr>
            <w:rFonts w:ascii="Times New Roman" w:eastAsia="Times New Roman" w:hAnsi="Times New Roman" w:cs="Times New Roman"/>
            <w:color w:val="0000FF"/>
            <w:sz w:val="24"/>
            <w:szCs w:val="24"/>
            <w:highlight w:val="white"/>
            <w:u w:val="single"/>
          </w:rPr>
          <w:t>https://doi.org/10.1016/j.ijer.2024.102413</w:t>
        </w:r>
      </w:hyperlink>
      <w:r>
        <w:rPr>
          <w:rFonts w:ascii="Times New Roman" w:eastAsia="Times New Roman" w:hAnsi="Times New Roman" w:cs="Times New Roman"/>
          <w:color w:val="222222"/>
          <w:sz w:val="24"/>
          <w:szCs w:val="24"/>
          <w:highlight w:val="white"/>
        </w:rPr>
        <w:t xml:space="preserve"> </w:t>
      </w:r>
    </w:p>
    <w:p w14:paraId="19948EC8"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Lee, M., &amp; Wright, E. (2016). Moving from elite international schools to the world’s elite universities: A critical perspective. </w:t>
      </w:r>
      <w:r>
        <w:rPr>
          <w:rFonts w:ascii="Times New Roman" w:eastAsia="Times New Roman" w:hAnsi="Times New Roman" w:cs="Times New Roman"/>
          <w:i/>
          <w:iCs/>
          <w:color w:val="222222"/>
          <w:sz w:val="24"/>
          <w:szCs w:val="24"/>
          <w:highlight w:val="white"/>
        </w:rPr>
        <w:t>International Journal of Comparative Education and Development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18</w:t>
      </w:r>
      <w:r>
        <w:rPr>
          <w:rFonts w:ascii="Times New Roman" w:eastAsia="Times New Roman" w:hAnsi="Times New Roman" w:cs="Times New Roman"/>
          <w:color w:val="222222"/>
          <w:sz w:val="24"/>
          <w:szCs w:val="24"/>
          <w:highlight w:val="white"/>
        </w:rPr>
        <w:t xml:space="preserve">(2), 120–136. </w:t>
      </w:r>
      <w:hyperlink r:id="rId35">
        <w:r>
          <w:rPr>
            <w:rFonts w:ascii="Times New Roman" w:eastAsia="Times New Roman" w:hAnsi="Times New Roman" w:cs="Times New Roman"/>
            <w:color w:val="0000FF"/>
            <w:sz w:val="24"/>
            <w:szCs w:val="24"/>
            <w:highlight w:val="white"/>
            <w:u w:val="single"/>
          </w:rPr>
          <w:t>https://doi.org/10.1108/IJCED-01-2016-0002</w:t>
        </w:r>
      </w:hyperlink>
      <w:r>
        <w:rPr>
          <w:rFonts w:ascii="Times New Roman" w:eastAsia="Times New Roman" w:hAnsi="Times New Roman" w:cs="Times New Roman"/>
          <w:color w:val="222222"/>
          <w:sz w:val="24"/>
          <w:szCs w:val="24"/>
          <w:highlight w:val="white"/>
        </w:rPr>
        <w:t xml:space="preserve"> </w:t>
      </w:r>
    </w:p>
    <w:p w14:paraId="73364520"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Lu, B. (2021). Does attending academically selective schools increase higher education participation rates? </w:t>
      </w:r>
      <w:r>
        <w:rPr>
          <w:rFonts w:ascii="Times New Roman" w:eastAsia="Times New Roman" w:hAnsi="Times New Roman" w:cs="Times New Roman"/>
          <w:i/>
          <w:iCs/>
          <w:color w:val="222222"/>
          <w:sz w:val="24"/>
          <w:szCs w:val="24"/>
          <w:highlight w:val="white"/>
        </w:rPr>
        <w:t>Cambridge Journal of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51</w:t>
      </w:r>
      <w:r>
        <w:rPr>
          <w:rFonts w:ascii="Times New Roman" w:eastAsia="Times New Roman" w:hAnsi="Times New Roman" w:cs="Times New Roman"/>
          <w:color w:val="222222"/>
          <w:sz w:val="24"/>
          <w:szCs w:val="24"/>
          <w:highlight w:val="white"/>
        </w:rPr>
        <w:t xml:space="preserve">(4), 467–489. </w:t>
      </w:r>
      <w:hyperlink r:id="rId36">
        <w:r>
          <w:rPr>
            <w:rFonts w:ascii="Times New Roman" w:eastAsia="Times New Roman" w:hAnsi="Times New Roman" w:cs="Times New Roman"/>
            <w:color w:val="0000FF"/>
            <w:sz w:val="24"/>
            <w:szCs w:val="24"/>
            <w:highlight w:val="white"/>
            <w:u w:val="single"/>
          </w:rPr>
          <w:t>https://doi.org/10.1080/0305764X.2020.1863914</w:t>
        </w:r>
      </w:hyperlink>
      <w:r>
        <w:rPr>
          <w:rFonts w:ascii="Times New Roman" w:eastAsia="Times New Roman" w:hAnsi="Times New Roman" w:cs="Times New Roman"/>
          <w:color w:val="222222"/>
          <w:sz w:val="24"/>
          <w:szCs w:val="24"/>
          <w:highlight w:val="white"/>
        </w:rPr>
        <w:t xml:space="preserve"> </w:t>
      </w:r>
    </w:p>
    <w:p w14:paraId="0406DEDB"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Lu, B., &amp; Siddiqui, N. (2024). The more selective, the more effective? The geographical difference of the effectiveness of selective education. </w:t>
      </w:r>
      <w:r>
        <w:rPr>
          <w:rFonts w:ascii="Times New Roman" w:eastAsia="Times New Roman" w:hAnsi="Times New Roman" w:cs="Times New Roman"/>
          <w:i/>
          <w:iCs/>
          <w:color w:val="222222"/>
          <w:sz w:val="24"/>
          <w:szCs w:val="24"/>
          <w:highlight w:val="white"/>
        </w:rPr>
        <w:t>Educational Review</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76</w:t>
      </w:r>
      <w:r>
        <w:rPr>
          <w:rFonts w:ascii="Times New Roman" w:eastAsia="Times New Roman" w:hAnsi="Times New Roman" w:cs="Times New Roman"/>
          <w:color w:val="222222"/>
          <w:sz w:val="24"/>
          <w:szCs w:val="24"/>
          <w:highlight w:val="white"/>
        </w:rPr>
        <w:t xml:space="preserve">(4), 792–810. </w:t>
      </w:r>
      <w:hyperlink r:id="rId37">
        <w:r>
          <w:rPr>
            <w:rFonts w:ascii="Times New Roman" w:eastAsia="Times New Roman" w:hAnsi="Times New Roman" w:cs="Times New Roman"/>
            <w:color w:val="0000FF"/>
            <w:sz w:val="24"/>
            <w:szCs w:val="24"/>
            <w:highlight w:val="white"/>
            <w:u w:val="single"/>
          </w:rPr>
          <w:t>https://doi.org/10.1080/00131911.2022.2054960</w:t>
        </w:r>
      </w:hyperlink>
      <w:r>
        <w:rPr>
          <w:rFonts w:ascii="Times New Roman" w:eastAsia="Times New Roman" w:hAnsi="Times New Roman" w:cs="Times New Roman"/>
          <w:color w:val="222222"/>
          <w:sz w:val="24"/>
          <w:szCs w:val="24"/>
          <w:highlight w:val="white"/>
        </w:rPr>
        <w:t xml:space="preserve"> </w:t>
      </w:r>
    </w:p>
    <w:p w14:paraId="16A01F59"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Makhmetov</w:t>
      </w:r>
      <w:proofErr w:type="spellEnd"/>
      <w:r>
        <w:rPr>
          <w:rFonts w:ascii="Times New Roman" w:eastAsia="Times New Roman" w:hAnsi="Times New Roman" w:cs="Times New Roman"/>
          <w:color w:val="222222"/>
          <w:sz w:val="24"/>
          <w:szCs w:val="24"/>
          <w:highlight w:val="white"/>
        </w:rPr>
        <w:t xml:space="preserve">, A. (2025). From </w:t>
      </w:r>
      <w:proofErr w:type="spellStart"/>
      <w:r>
        <w:rPr>
          <w:rFonts w:ascii="Times New Roman" w:eastAsia="Times New Roman" w:hAnsi="Times New Roman" w:cs="Times New Roman"/>
          <w:color w:val="222222"/>
          <w:sz w:val="24"/>
          <w:szCs w:val="24"/>
          <w:highlight w:val="white"/>
        </w:rPr>
        <w:t>Tolyk</w:t>
      </w:r>
      <w:proofErr w:type="spellEnd"/>
      <w:r>
        <w:rPr>
          <w:rFonts w:ascii="Times New Roman" w:eastAsia="Times New Roman" w:hAnsi="Times New Roman" w:cs="Times New Roman"/>
          <w:color w:val="222222"/>
          <w:sz w:val="24"/>
          <w:szCs w:val="24"/>
          <w:highlight w:val="white"/>
        </w:rPr>
        <w:t xml:space="preserve"> Adam to Adal Azamat: A conceptual framework for values-based education in Kazakhstan's </w:t>
      </w:r>
      <w:proofErr w:type="spellStart"/>
      <w:r>
        <w:rPr>
          <w:rFonts w:ascii="Times New Roman" w:eastAsia="Times New Roman" w:hAnsi="Times New Roman" w:cs="Times New Roman"/>
          <w:color w:val="222222"/>
          <w:sz w:val="24"/>
          <w:szCs w:val="24"/>
          <w:highlight w:val="white"/>
        </w:rPr>
        <w:t>Bilim</w:t>
      </w:r>
      <w:proofErr w:type="spellEnd"/>
      <w:r>
        <w:rPr>
          <w:rFonts w:ascii="Times New Roman" w:eastAsia="Times New Roman" w:hAnsi="Times New Roman" w:cs="Times New Roman"/>
          <w:color w:val="222222"/>
          <w:sz w:val="24"/>
          <w:szCs w:val="24"/>
          <w:highlight w:val="white"/>
        </w:rPr>
        <w:t xml:space="preserve"> Innovation Lyceums. </w:t>
      </w:r>
      <w:r>
        <w:rPr>
          <w:rFonts w:ascii="Times New Roman" w:eastAsia="Times New Roman" w:hAnsi="Times New Roman" w:cs="Times New Roman"/>
          <w:i/>
          <w:iCs/>
          <w:color w:val="222222"/>
          <w:sz w:val="24"/>
          <w:szCs w:val="24"/>
          <w:highlight w:val="white"/>
        </w:rPr>
        <w:t>Journal of Character Education, 21</w:t>
      </w:r>
      <w:r>
        <w:rPr>
          <w:rFonts w:ascii="Times New Roman" w:eastAsia="Times New Roman" w:hAnsi="Times New Roman" w:cs="Times New Roman"/>
          <w:color w:val="222222"/>
          <w:sz w:val="24"/>
          <w:szCs w:val="24"/>
          <w:highlight w:val="white"/>
        </w:rPr>
        <w:t xml:space="preserve">(1–2), 76–88. </w:t>
      </w:r>
      <w:hyperlink r:id="rId38">
        <w:r>
          <w:rPr>
            <w:rFonts w:ascii="Times New Roman" w:eastAsia="Times New Roman" w:hAnsi="Times New Roman" w:cs="Times New Roman"/>
            <w:color w:val="0000FF"/>
            <w:sz w:val="24"/>
            <w:szCs w:val="24"/>
            <w:highlight w:val="white"/>
            <w:u w:val="single"/>
          </w:rPr>
          <w:t>https://doi.org/10.1108/JCED-07-2025-0003</w:t>
        </w:r>
      </w:hyperlink>
      <w:r>
        <w:rPr>
          <w:rFonts w:ascii="Times New Roman" w:eastAsia="Times New Roman" w:hAnsi="Times New Roman" w:cs="Times New Roman"/>
          <w:color w:val="222222"/>
          <w:sz w:val="24"/>
          <w:szCs w:val="24"/>
          <w:highlight w:val="white"/>
        </w:rPr>
        <w:t xml:space="preserve"> </w:t>
      </w:r>
    </w:p>
    <w:p w14:paraId="17DF5E1E"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Mansfield, I. (2019). </w:t>
      </w:r>
      <w:r>
        <w:rPr>
          <w:rFonts w:ascii="Times New Roman" w:eastAsia="Times New Roman" w:hAnsi="Times New Roman" w:cs="Times New Roman"/>
          <w:i/>
          <w:iCs/>
          <w:color w:val="222222"/>
          <w:sz w:val="24"/>
          <w:szCs w:val="24"/>
          <w:highlight w:val="white"/>
        </w:rPr>
        <w:t>The impact of selective secondary education on progression to higher education</w:t>
      </w:r>
      <w:r>
        <w:rPr>
          <w:rFonts w:ascii="Times New Roman" w:eastAsia="Times New Roman" w:hAnsi="Times New Roman" w:cs="Times New Roman"/>
          <w:color w:val="222222"/>
          <w:sz w:val="24"/>
          <w:szCs w:val="24"/>
          <w:highlight w:val="white"/>
        </w:rPr>
        <w:t>. Higher Education Policy Institute.</w:t>
      </w:r>
      <w:hyperlink r:id="rId39">
        <w:r>
          <w:rPr>
            <w:rFonts w:ascii="Times New Roman" w:eastAsia="Times New Roman" w:hAnsi="Times New Roman" w:cs="Times New Roman"/>
            <w:color w:val="222222"/>
            <w:sz w:val="24"/>
            <w:szCs w:val="24"/>
            <w:highlight w:val="white"/>
          </w:rPr>
          <w:t xml:space="preserve"> </w:t>
        </w:r>
      </w:hyperlink>
      <w:hyperlink r:id="rId40">
        <w:r>
          <w:rPr>
            <w:rFonts w:ascii="Times New Roman" w:eastAsia="Times New Roman" w:hAnsi="Times New Roman" w:cs="Times New Roman"/>
            <w:color w:val="1155CC"/>
            <w:sz w:val="24"/>
            <w:szCs w:val="24"/>
            <w:highlight w:val="white"/>
            <w:u w:val="single"/>
          </w:rPr>
          <w:t>https://www.hepi.ac.uk/wp-content/uploads/2019/01/HEPI-Occasional-Paper-19-as-published-Screen.pdf</w:t>
        </w:r>
      </w:hyperlink>
      <w:r>
        <w:rPr>
          <w:rFonts w:ascii="Times New Roman" w:eastAsia="Times New Roman" w:hAnsi="Times New Roman" w:cs="Times New Roman"/>
          <w:color w:val="222222"/>
          <w:sz w:val="24"/>
          <w:szCs w:val="24"/>
          <w:highlight w:val="white"/>
        </w:rPr>
        <w:t xml:space="preserve"> </w:t>
      </w:r>
    </w:p>
    <w:p w14:paraId="6F2A74FF"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McCowan, T. (2016). Three dimensions of equity of access to higher education. </w:t>
      </w:r>
      <w:r>
        <w:rPr>
          <w:rFonts w:ascii="Times New Roman" w:eastAsia="Times New Roman" w:hAnsi="Times New Roman" w:cs="Times New Roman"/>
          <w:i/>
          <w:iCs/>
          <w:color w:val="222222"/>
          <w:sz w:val="24"/>
          <w:szCs w:val="24"/>
          <w:highlight w:val="white"/>
        </w:rPr>
        <w:t>Compare, 46</w:t>
      </w:r>
      <w:r>
        <w:rPr>
          <w:rFonts w:ascii="Times New Roman" w:eastAsia="Times New Roman" w:hAnsi="Times New Roman" w:cs="Times New Roman"/>
          <w:color w:val="222222"/>
          <w:sz w:val="24"/>
          <w:szCs w:val="24"/>
          <w:highlight w:val="white"/>
        </w:rPr>
        <w:t xml:space="preserve">(4), 645–665. </w:t>
      </w:r>
      <w:hyperlink r:id="rId41">
        <w:r>
          <w:rPr>
            <w:rFonts w:ascii="Times New Roman" w:eastAsia="Times New Roman" w:hAnsi="Times New Roman" w:cs="Times New Roman"/>
            <w:color w:val="0000FF"/>
            <w:sz w:val="24"/>
            <w:szCs w:val="24"/>
            <w:highlight w:val="white"/>
            <w:u w:val="single"/>
          </w:rPr>
          <w:t>https://doi.org/10.1080/03057925.2015.1043237</w:t>
        </w:r>
      </w:hyperlink>
      <w:r>
        <w:rPr>
          <w:rFonts w:ascii="Times New Roman" w:eastAsia="Times New Roman" w:hAnsi="Times New Roman" w:cs="Times New Roman"/>
          <w:color w:val="222222"/>
          <w:sz w:val="24"/>
          <w:szCs w:val="24"/>
          <w:highlight w:val="white"/>
        </w:rPr>
        <w:t xml:space="preserve"> </w:t>
      </w:r>
    </w:p>
    <w:p w14:paraId="4AD73B25" w14:textId="77777777" w:rsidR="004C7857" w:rsidRDefault="00000000">
      <w:pPr>
        <w:spacing w:line="24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Nazarbayev University. (2026). </w:t>
      </w:r>
      <w:r>
        <w:rPr>
          <w:rFonts w:ascii="Times New Roman" w:eastAsia="Times New Roman" w:hAnsi="Times New Roman" w:cs="Times New Roman"/>
          <w:i/>
          <w:iCs/>
          <w:sz w:val="24"/>
          <w:szCs w:val="24"/>
          <w:highlight w:val="white"/>
        </w:rPr>
        <w:t xml:space="preserve">Admission statistics: Foundation year program and undergraduate. </w:t>
      </w:r>
      <w:r>
        <w:rPr>
          <w:rFonts w:ascii="Times New Roman" w:eastAsia="Times New Roman" w:hAnsi="Times New Roman" w:cs="Times New Roman"/>
          <w:sz w:val="24"/>
          <w:szCs w:val="24"/>
          <w:highlight w:val="white"/>
        </w:rPr>
        <w:t xml:space="preserve">Nazarbayev University. Retrieved on June 14, </w:t>
      </w:r>
      <w:proofErr w:type="gramStart"/>
      <w:r>
        <w:rPr>
          <w:rFonts w:ascii="Times New Roman" w:eastAsia="Times New Roman" w:hAnsi="Times New Roman" w:cs="Times New Roman"/>
          <w:sz w:val="24"/>
          <w:szCs w:val="24"/>
          <w:highlight w:val="white"/>
        </w:rPr>
        <w:t>2026</w:t>
      </w:r>
      <w:proofErr w:type="gramEnd"/>
      <w:r>
        <w:rPr>
          <w:rFonts w:ascii="Times New Roman" w:eastAsia="Times New Roman" w:hAnsi="Times New Roman" w:cs="Times New Roman"/>
          <w:sz w:val="24"/>
          <w:szCs w:val="24"/>
          <w:highlight w:val="white"/>
        </w:rPr>
        <w:t xml:space="preserve"> from </w:t>
      </w:r>
      <w:hyperlink r:id="rId42">
        <w:r>
          <w:rPr>
            <w:rFonts w:ascii="Times New Roman" w:eastAsia="Times New Roman" w:hAnsi="Times New Roman" w:cs="Times New Roman"/>
            <w:color w:val="1155CC"/>
            <w:sz w:val="24"/>
            <w:szCs w:val="24"/>
            <w:highlight w:val="white"/>
            <w:u w:val="single"/>
          </w:rPr>
          <w:t>https://nu.edu.kz/about/university-achievements/facts-figures/</w:t>
        </w:r>
      </w:hyperlink>
      <w:r>
        <w:rPr>
          <w:rFonts w:ascii="Times New Roman" w:eastAsia="Times New Roman" w:hAnsi="Times New Roman" w:cs="Times New Roman"/>
          <w:sz w:val="24"/>
          <w:szCs w:val="24"/>
          <w:highlight w:val="white"/>
        </w:rPr>
        <w:t xml:space="preserve">. </w:t>
      </w:r>
    </w:p>
    <w:p w14:paraId="3E04D27C"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lastRenderedPageBreak/>
        <w:t>Nurshatayeva</w:t>
      </w:r>
      <w:proofErr w:type="spellEnd"/>
      <w:r>
        <w:rPr>
          <w:rFonts w:ascii="Times New Roman" w:eastAsia="Times New Roman" w:hAnsi="Times New Roman" w:cs="Times New Roman"/>
          <w:color w:val="222222"/>
          <w:sz w:val="24"/>
          <w:szCs w:val="24"/>
          <w:highlight w:val="white"/>
        </w:rPr>
        <w:t xml:space="preserve">, A., &amp; Page, L. C. (2020). Effects of the shift to English-only instruction on college outcomes: Evidence from Central Asia. </w:t>
      </w:r>
      <w:r>
        <w:rPr>
          <w:rFonts w:ascii="Times New Roman" w:eastAsia="Times New Roman" w:hAnsi="Times New Roman" w:cs="Times New Roman"/>
          <w:i/>
          <w:iCs/>
          <w:color w:val="222222"/>
          <w:sz w:val="24"/>
          <w:szCs w:val="24"/>
          <w:highlight w:val="white"/>
        </w:rPr>
        <w:t>Journal of Research on Educational Effectiveness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13</w:t>
      </w:r>
      <w:r>
        <w:rPr>
          <w:rFonts w:ascii="Times New Roman" w:eastAsia="Times New Roman" w:hAnsi="Times New Roman" w:cs="Times New Roman"/>
          <w:color w:val="222222"/>
          <w:sz w:val="24"/>
          <w:szCs w:val="24"/>
          <w:highlight w:val="white"/>
        </w:rPr>
        <w:t xml:space="preserve">(1), 92–120. </w:t>
      </w:r>
      <w:hyperlink r:id="rId43">
        <w:r>
          <w:rPr>
            <w:rFonts w:ascii="Times New Roman" w:eastAsia="Times New Roman" w:hAnsi="Times New Roman" w:cs="Times New Roman"/>
            <w:color w:val="1155CC"/>
            <w:sz w:val="24"/>
            <w:szCs w:val="24"/>
            <w:highlight w:val="white"/>
            <w:u w:val="single"/>
          </w:rPr>
          <w:t>https://doi.org/10.1080/19345747.2019.1652711</w:t>
        </w:r>
      </w:hyperlink>
      <w:r>
        <w:rPr>
          <w:rFonts w:ascii="Times New Roman" w:eastAsia="Times New Roman" w:hAnsi="Times New Roman" w:cs="Times New Roman"/>
          <w:color w:val="222222"/>
          <w:sz w:val="24"/>
          <w:szCs w:val="24"/>
          <w:highlight w:val="white"/>
        </w:rPr>
        <w:t xml:space="preserve"> </w:t>
      </w:r>
    </w:p>
    <w:p w14:paraId="5A0BA2EE" w14:textId="77777777" w:rsidR="004C7857" w:rsidRDefault="00000000">
      <w:pPr>
        <w:spacing w:line="240" w:lineRule="auto"/>
        <w:ind w:left="720" w:hanging="720"/>
        <w:rPr>
          <w:rFonts w:ascii="Times New Roman" w:eastAsia="Times New Roman" w:hAnsi="Times New Roman" w:cs="Times New Roman"/>
          <w:color w:val="131314"/>
          <w:sz w:val="24"/>
          <w:szCs w:val="24"/>
          <w:highlight w:val="white"/>
        </w:rPr>
      </w:pPr>
      <w:proofErr w:type="spellStart"/>
      <w:r>
        <w:rPr>
          <w:rFonts w:ascii="Times New Roman" w:eastAsia="Times New Roman" w:hAnsi="Times New Roman" w:cs="Times New Roman"/>
          <w:sz w:val="24"/>
          <w:szCs w:val="24"/>
          <w:highlight w:val="white"/>
        </w:rPr>
        <w:t>Nurshatayeva</w:t>
      </w:r>
      <w:proofErr w:type="spellEnd"/>
      <w:r>
        <w:rPr>
          <w:rFonts w:ascii="Times New Roman" w:eastAsia="Times New Roman" w:hAnsi="Times New Roman" w:cs="Times New Roman"/>
          <w:sz w:val="24"/>
          <w:szCs w:val="24"/>
          <w:highlight w:val="white"/>
        </w:rPr>
        <w:t xml:space="preserve">, A., </w:t>
      </w:r>
      <w:proofErr w:type="spellStart"/>
      <w:r>
        <w:rPr>
          <w:rFonts w:ascii="Times New Roman" w:eastAsia="Times New Roman" w:hAnsi="Times New Roman" w:cs="Times New Roman"/>
          <w:sz w:val="24"/>
          <w:szCs w:val="24"/>
          <w:highlight w:val="white"/>
        </w:rPr>
        <w:t>Tleuzhanuly</w:t>
      </w:r>
      <w:proofErr w:type="spellEnd"/>
      <w:r>
        <w:rPr>
          <w:rFonts w:ascii="Times New Roman" w:eastAsia="Times New Roman" w:hAnsi="Times New Roman" w:cs="Times New Roman"/>
          <w:sz w:val="24"/>
          <w:szCs w:val="24"/>
          <w:highlight w:val="white"/>
        </w:rPr>
        <w:t xml:space="preserve">, K., </w:t>
      </w:r>
      <w:proofErr w:type="spellStart"/>
      <w:r>
        <w:rPr>
          <w:rFonts w:ascii="Times New Roman" w:eastAsia="Times New Roman" w:hAnsi="Times New Roman" w:cs="Times New Roman"/>
          <w:sz w:val="24"/>
          <w:szCs w:val="24"/>
          <w:highlight w:val="white"/>
        </w:rPr>
        <w:t>Ibrayeva</w:t>
      </w:r>
      <w:proofErr w:type="spellEnd"/>
      <w:r>
        <w:rPr>
          <w:rFonts w:ascii="Times New Roman" w:eastAsia="Times New Roman" w:hAnsi="Times New Roman" w:cs="Times New Roman"/>
          <w:sz w:val="24"/>
          <w:szCs w:val="24"/>
          <w:highlight w:val="white"/>
        </w:rPr>
        <w:t xml:space="preserve">, D., &amp; </w:t>
      </w:r>
      <w:proofErr w:type="spellStart"/>
      <w:r>
        <w:rPr>
          <w:rFonts w:ascii="Times New Roman" w:eastAsia="Times New Roman" w:hAnsi="Times New Roman" w:cs="Times New Roman"/>
          <w:sz w:val="24"/>
          <w:szCs w:val="24"/>
          <w:highlight w:val="white"/>
        </w:rPr>
        <w:t>Pilipenko</w:t>
      </w:r>
      <w:proofErr w:type="spellEnd"/>
      <w:r>
        <w:rPr>
          <w:rFonts w:ascii="Times New Roman" w:eastAsia="Times New Roman" w:hAnsi="Times New Roman" w:cs="Times New Roman"/>
          <w:sz w:val="24"/>
          <w:szCs w:val="24"/>
          <w:highlight w:val="white"/>
        </w:rPr>
        <w:t xml:space="preserve">, A. (2026). </w:t>
      </w:r>
      <w:r>
        <w:rPr>
          <w:rFonts w:ascii="Times New Roman" w:eastAsia="Times New Roman" w:hAnsi="Times New Roman" w:cs="Times New Roman"/>
          <w:i/>
          <w:iCs/>
          <w:sz w:val="24"/>
          <w:szCs w:val="24"/>
          <w:highlight w:val="white"/>
        </w:rPr>
        <w:t>Testing twice, aiming higher? Admission exam retakes and performance in Kazakhstan.</w:t>
      </w:r>
      <w:r>
        <w:rPr>
          <w:rFonts w:ascii="Times New Roman" w:eastAsia="Times New Roman" w:hAnsi="Times New Roman" w:cs="Times New Roman"/>
          <w:sz w:val="24"/>
          <w:szCs w:val="24"/>
          <w:highlight w:val="white"/>
        </w:rPr>
        <w:t xml:space="preserve"> In A. </w:t>
      </w:r>
      <w:proofErr w:type="spellStart"/>
      <w:r>
        <w:rPr>
          <w:rFonts w:ascii="Times New Roman" w:eastAsia="Times New Roman" w:hAnsi="Times New Roman" w:cs="Times New Roman"/>
          <w:sz w:val="24"/>
          <w:szCs w:val="24"/>
          <w:highlight w:val="white"/>
        </w:rPr>
        <w:t>Kuzhabekova</w:t>
      </w:r>
      <w:proofErr w:type="spellEnd"/>
      <w:r>
        <w:rPr>
          <w:rFonts w:ascii="Times New Roman" w:eastAsia="Times New Roman" w:hAnsi="Times New Roman" w:cs="Times New Roman"/>
          <w:sz w:val="24"/>
          <w:szCs w:val="24"/>
          <w:highlight w:val="white"/>
        </w:rPr>
        <w:t xml:space="preserve"> &amp; Z. </w:t>
      </w:r>
      <w:proofErr w:type="spellStart"/>
      <w:r>
        <w:rPr>
          <w:rFonts w:ascii="Times New Roman" w:eastAsia="Times New Roman" w:hAnsi="Times New Roman" w:cs="Times New Roman"/>
          <w:sz w:val="24"/>
          <w:szCs w:val="24"/>
          <w:highlight w:val="white"/>
        </w:rPr>
        <w:t>Katayeva</w:t>
      </w:r>
      <w:proofErr w:type="spellEnd"/>
      <w:r>
        <w:rPr>
          <w:rFonts w:ascii="Times New Roman" w:eastAsia="Times New Roman" w:hAnsi="Times New Roman" w:cs="Times New Roman"/>
          <w:sz w:val="24"/>
          <w:szCs w:val="24"/>
          <w:highlight w:val="white"/>
        </w:rPr>
        <w:t xml:space="preserve"> (Eds.), </w:t>
      </w:r>
      <w:r>
        <w:rPr>
          <w:rFonts w:ascii="Times New Roman" w:eastAsia="Times New Roman" w:hAnsi="Times New Roman" w:cs="Times New Roman"/>
          <w:i/>
          <w:iCs/>
          <w:sz w:val="24"/>
          <w:szCs w:val="24"/>
          <w:highlight w:val="white"/>
        </w:rPr>
        <w:t>Higher education in Central Asia</w:t>
      </w:r>
      <w:r>
        <w:rPr>
          <w:rFonts w:ascii="Times New Roman" w:eastAsia="Times New Roman" w:hAnsi="Times New Roman" w:cs="Times New Roman"/>
          <w:sz w:val="24"/>
          <w:szCs w:val="24"/>
          <w:highlight w:val="white"/>
        </w:rPr>
        <w:t>. Palgrave.</w:t>
      </w:r>
    </w:p>
    <w:p w14:paraId="0B767408" w14:textId="77777777" w:rsidR="004C7857" w:rsidRDefault="00000000">
      <w:pPr>
        <w:spacing w:line="240" w:lineRule="auto"/>
        <w:ind w:left="720" w:hanging="720"/>
        <w:rPr>
          <w:rFonts w:ascii="Times New Roman" w:eastAsia="Times New Roman" w:hAnsi="Times New Roman" w:cs="Times New Roman"/>
          <w:color w:val="131314"/>
          <w:sz w:val="24"/>
          <w:szCs w:val="24"/>
          <w:highlight w:val="white"/>
        </w:rPr>
      </w:pPr>
      <w:proofErr w:type="spellStart"/>
      <w:r>
        <w:rPr>
          <w:rFonts w:ascii="Times New Roman" w:eastAsia="Times New Roman" w:hAnsi="Times New Roman" w:cs="Times New Roman"/>
          <w:color w:val="131314"/>
          <w:sz w:val="24"/>
          <w:szCs w:val="24"/>
          <w:highlight w:val="white"/>
        </w:rPr>
        <w:t>Organisation</w:t>
      </w:r>
      <w:proofErr w:type="spellEnd"/>
      <w:r>
        <w:rPr>
          <w:rFonts w:ascii="Times New Roman" w:eastAsia="Times New Roman" w:hAnsi="Times New Roman" w:cs="Times New Roman"/>
          <w:color w:val="131314"/>
          <w:sz w:val="24"/>
          <w:szCs w:val="24"/>
          <w:highlight w:val="white"/>
        </w:rPr>
        <w:t xml:space="preserve"> for Economic Co-operation and Development. (2017). </w:t>
      </w:r>
      <w:r>
        <w:rPr>
          <w:rFonts w:ascii="Times New Roman" w:eastAsia="Times New Roman" w:hAnsi="Times New Roman" w:cs="Times New Roman"/>
          <w:i/>
          <w:iCs/>
          <w:color w:val="131314"/>
          <w:sz w:val="24"/>
          <w:szCs w:val="24"/>
          <w:highlight w:val="white"/>
        </w:rPr>
        <w:t>Higher education in Kazakhstan.</w:t>
      </w:r>
      <w:r>
        <w:rPr>
          <w:rFonts w:ascii="Times New Roman" w:eastAsia="Times New Roman" w:hAnsi="Times New Roman" w:cs="Times New Roman"/>
          <w:color w:val="131314"/>
          <w:sz w:val="24"/>
          <w:szCs w:val="24"/>
          <w:highlight w:val="white"/>
        </w:rPr>
        <w:t xml:space="preserve"> OECD Publishing. </w:t>
      </w:r>
      <w:hyperlink r:id="rId44">
        <w:r>
          <w:rPr>
            <w:rFonts w:ascii="Times New Roman" w:eastAsia="Times New Roman" w:hAnsi="Times New Roman" w:cs="Times New Roman"/>
            <w:color w:val="1155CC"/>
            <w:sz w:val="24"/>
            <w:szCs w:val="24"/>
            <w:highlight w:val="white"/>
            <w:u w:val="single"/>
          </w:rPr>
          <w:t>https://www.oecd.org/content/dam/oecd/en/publications/reports/2017/03/higher-education-in-kazakhstan-2017_g1g74634/9789264268531-en.pdf</w:t>
        </w:r>
      </w:hyperlink>
      <w:r>
        <w:rPr>
          <w:rFonts w:ascii="Times New Roman" w:eastAsia="Times New Roman" w:hAnsi="Times New Roman" w:cs="Times New Roman"/>
          <w:color w:val="131314"/>
          <w:sz w:val="24"/>
          <w:szCs w:val="24"/>
          <w:highlight w:val="white"/>
        </w:rPr>
        <w:t xml:space="preserve"> </w:t>
      </w:r>
    </w:p>
    <w:p w14:paraId="5A4E1C24"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131314"/>
          <w:sz w:val="24"/>
          <w:szCs w:val="24"/>
          <w:highlight w:val="white"/>
        </w:rPr>
        <w:t>Organisation</w:t>
      </w:r>
      <w:proofErr w:type="spellEnd"/>
      <w:r>
        <w:rPr>
          <w:rFonts w:ascii="Times New Roman" w:eastAsia="Times New Roman" w:hAnsi="Times New Roman" w:cs="Times New Roman"/>
          <w:color w:val="131314"/>
          <w:sz w:val="24"/>
          <w:szCs w:val="24"/>
          <w:highlight w:val="white"/>
        </w:rPr>
        <w:t xml:space="preserve"> for Economic Co-operation and Development. (2024). </w:t>
      </w:r>
      <w:r>
        <w:rPr>
          <w:rFonts w:ascii="Times New Roman" w:eastAsia="Times New Roman" w:hAnsi="Times New Roman" w:cs="Times New Roman"/>
          <w:i/>
          <w:iCs/>
          <w:color w:val="131314"/>
          <w:sz w:val="24"/>
          <w:szCs w:val="24"/>
          <w:highlight w:val="white"/>
        </w:rPr>
        <w:t>The measurement of socio-economic status in PISA</w:t>
      </w:r>
      <w:r>
        <w:rPr>
          <w:rFonts w:ascii="Times New Roman" w:eastAsia="Times New Roman" w:hAnsi="Times New Roman" w:cs="Times New Roman"/>
          <w:color w:val="131314"/>
          <w:sz w:val="24"/>
          <w:szCs w:val="24"/>
          <w:highlight w:val="white"/>
        </w:rPr>
        <w:t xml:space="preserve">. OECD Publishing. </w:t>
      </w:r>
      <w:hyperlink r:id="rId45">
        <w:r>
          <w:rPr>
            <w:rFonts w:ascii="Times New Roman" w:eastAsia="Times New Roman" w:hAnsi="Times New Roman" w:cs="Times New Roman"/>
            <w:color w:val="0000FF"/>
            <w:sz w:val="24"/>
            <w:szCs w:val="24"/>
            <w:highlight w:val="white"/>
            <w:u w:val="single"/>
          </w:rPr>
          <w:t>https://doi.org/10.1787/0c5b793c-en</w:t>
        </w:r>
      </w:hyperlink>
      <w:r>
        <w:rPr>
          <w:rFonts w:ascii="Times New Roman" w:eastAsia="Times New Roman" w:hAnsi="Times New Roman" w:cs="Times New Roman"/>
          <w:color w:val="131314"/>
          <w:sz w:val="24"/>
          <w:szCs w:val="24"/>
          <w:highlight w:val="white"/>
        </w:rPr>
        <w:t xml:space="preserve"> </w:t>
      </w:r>
    </w:p>
    <w:p w14:paraId="019A64A1"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Page, L. C., &amp; </w:t>
      </w:r>
      <w:proofErr w:type="spellStart"/>
      <w:r>
        <w:rPr>
          <w:rFonts w:ascii="Times New Roman" w:eastAsia="Times New Roman" w:hAnsi="Times New Roman" w:cs="Times New Roman"/>
          <w:color w:val="222222"/>
          <w:sz w:val="24"/>
          <w:szCs w:val="24"/>
          <w:highlight w:val="white"/>
        </w:rPr>
        <w:t>Nurshatayeva</w:t>
      </w:r>
      <w:proofErr w:type="spellEnd"/>
      <w:r>
        <w:rPr>
          <w:rFonts w:ascii="Times New Roman" w:eastAsia="Times New Roman" w:hAnsi="Times New Roman" w:cs="Times New Roman"/>
          <w:color w:val="222222"/>
          <w:sz w:val="24"/>
          <w:szCs w:val="24"/>
          <w:highlight w:val="white"/>
        </w:rPr>
        <w:t xml:space="preserve">, A. (2022). Behavioral economics of higher education: Theory, evidence, and implications for policy and practice. In N. A. Bowman (Ed.), </w:t>
      </w:r>
      <w:r>
        <w:rPr>
          <w:rFonts w:ascii="Times New Roman" w:eastAsia="Times New Roman" w:hAnsi="Times New Roman" w:cs="Times New Roman"/>
          <w:i/>
          <w:iCs/>
          <w:color w:val="222222"/>
          <w:sz w:val="24"/>
          <w:szCs w:val="24"/>
          <w:highlight w:val="white"/>
        </w:rPr>
        <w:t>How college students succeed: Making meaning across disciplinary perspectives</w:t>
      </w:r>
      <w:r>
        <w:rPr>
          <w:rFonts w:ascii="Times New Roman" w:eastAsia="Times New Roman" w:hAnsi="Times New Roman" w:cs="Times New Roman"/>
          <w:color w:val="222222"/>
          <w:sz w:val="24"/>
          <w:szCs w:val="24"/>
          <w:highlight w:val="white"/>
        </w:rPr>
        <w:t xml:space="preserve"> (pp. 75-115). Stylus. </w:t>
      </w:r>
    </w:p>
    <w:p w14:paraId="1B1315E9"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Prakhov</w:t>
      </w:r>
      <w:proofErr w:type="spellEnd"/>
      <w:r>
        <w:rPr>
          <w:rFonts w:ascii="Times New Roman" w:eastAsia="Times New Roman" w:hAnsi="Times New Roman" w:cs="Times New Roman"/>
          <w:color w:val="222222"/>
          <w:sz w:val="24"/>
          <w:szCs w:val="24"/>
          <w:highlight w:val="white"/>
        </w:rPr>
        <w:t xml:space="preserve">, I. (2016). The barriers of access to selective universities in Russia. </w:t>
      </w:r>
      <w:r>
        <w:rPr>
          <w:rFonts w:ascii="Times New Roman" w:eastAsia="Times New Roman" w:hAnsi="Times New Roman" w:cs="Times New Roman"/>
          <w:i/>
          <w:iCs/>
          <w:color w:val="222222"/>
          <w:sz w:val="24"/>
          <w:szCs w:val="24"/>
          <w:highlight w:val="white"/>
        </w:rPr>
        <w:t>Higher Education Quarterly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70</w:t>
      </w:r>
      <w:r>
        <w:rPr>
          <w:rFonts w:ascii="Times New Roman" w:eastAsia="Times New Roman" w:hAnsi="Times New Roman" w:cs="Times New Roman"/>
          <w:color w:val="222222"/>
          <w:sz w:val="24"/>
          <w:szCs w:val="24"/>
          <w:highlight w:val="white"/>
        </w:rPr>
        <w:t xml:space="preserve">(2), 170–199. </w:t>
      </w:r>
      <w:hyperlink r:id="rId46">
        <w:r>
          <w:rPr>
            <w:rFonts w:ascii="Times New Roman" w:eastAsia="Times New Roman" w:hAnsi="Times New Roman" w:cs="Times New Roman"/>
            <w:color w:val="0000FF"/>
            <w:sz w:val="24"/>
            <w:szCs w:val="24"/>
            <w:highlight w:val="white"/>
            <w:u w:val="single"/>
          </w:rPr>
          <w:t>https://doi.org/10.1111/hequ.12087</w:t>
        </w:r>
      </w:hyperlink>
      <w:r>
        <w:rPr>
          <w:rFonts w:ascii="Times New Roman" w:eastAsia="Times New Roman" w:hAnsi="Times New Roman" w:cs="Times New Roman"/>
          <w:color w:val="222222"/>
          <w:sz w:val="24"/>
          <w:szCs w:val="24"/>
          <w:highlight w:val="white"/>
        </w:rPr>
        <w:t xml:space="preserve"> </w:t>
      </w:r>
    </w:p>
    <w:p w14:paraId="463C3F92" w14:textId="77777777" w:rsidR="004C7857" w:rsidRDefault="00000000">
      <w:pPr>
        <w:spacing w:line="240" w:lineRule="auto"/>
        <w:ind w:left="720" w:hanging="720"/>
        <w:rPr>
          <w:rFonts w:ascii="Times New Roman" w:eastAsia="Times New Roman" w:hAnsi="Times New Roman" w:cs="Times New Roman"/>
          <w:color w:val="0563C1"/>
          <w:sz w:val="24"/>
          <w:szCs w:val="24"/>
          <w:highlight w:val="white"/>
          <w:u w:val="single"/>
        </w:rPr>
      </w:pPr>
      <w:proofErr w:type="spellStart"/>
      <w:r>
        <w:rPr>
          <w:rFonts w:ascii="Times New Roman" w:eastAsia="Times New Roman" w:hAnsi="Times New Roman" w:cs="Times New Roman"/>
          <w:sz w:val="24"/>
          <w:szCs w:val="24"/>
          <w:highlight w:val="white"/>
        </w:rPr>
        <w:t>Raffe</w:t>
      </w:r>
      <w:proofErr w:type="spellEnd"/>
      <w:r>
        <w:rPr>
          <w:rFonts w:ascii="Times New Roman" w:eastAsia="Times New Roman" w:hAnsi="Times New Roman" w:cs="Times New Roman"/>
          <w:sz w:val="24"/>
          <w:szCs w:val="24"/>
          <w:highlight w:val="white"/>
        </w:rPr>
        <w:t xml:space="preserve">, D., &amp; </w:t>
      </w:r>
      <w:proofErr w:type="spellStart"/>
      <w:r>
        <w:rPr>
          <w:rFonts w:ascii="Times New Roman" w:eastAsia="Times New Roman" w:hAnsi="Times New Roman" w:cs="Times New Roman"/>
          <w:sz w:val="24"/>
          <w:szCs w:val="24"/>
          <w:highlight w:val="white"/>
        </w:rPr>
        <w:t>Croxford</w:t>
      </w:r>
      <w:proofErr w:type="spellEnd"/>
      <w:r>
        <w:rPr>
          <w:rFonts w:ascii="Times New Roman" w:eastAsia="Times New Roman" w:hAnsi="Times New Roman" w:cs="Times New Roman"/>
          <w:sz w:val="24"/>
          <w:szCs w:val="24"/>
          <w:highlight w:val="white"/>
        </w:rPr>
        <w:t xml:space="preserve">, L. (2015). How stable is the stratification of higher education in England and Scotland? </w:t>
      </w:r>
      <w:r>
        <w:rPr>
          <w:rFonts w:ascii="Times New Roman" w:eastAsia="Times New Roman" w:hAnsi="Times New Roman" w:cs="Times New Roman"/>
          <w:i/>
          <w:iCs/>
          <w:sz w:val="24"/>
          <w:szCs w:val="24"/>
          <w:highlight w:val="white"/>
        </w:rPr>
        <w:t>British Journal of Sociology of Education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36</w:t>
      </w:r>
      <w:r>
        <w:rPr>
          <w:rFonts w:ascii="Times New Roman" w:eastAsia="Times New Roman" w:hAnsi="Times New Roman" w:cs="Times New Roman"/>
          <w:sz w:val="24"/>
          <w:szCs w:val="24"/>
          <w:highlight w:val="white"/>
        </w:rPr>
        <w:t xml:space="preserve">(2), 313–335. </w:t>
      </w:r>
      <w:hyperlink r:id="rId47">
        <w:r>
          <w:rPr>
            <w:rFonts w:ascii="Times New Roman" w:eastAsia="Times New Roman" w:hAnsi="Times New Roman" w:cs="Times New Roman"/>
            <w:color w:val="0000FF"/>
            <w:sz w:val="24"/>
            <w:szCs w:val="24"/>
            <w:highlight w:val="white"/>
            <w:u w:val="single"/>
          </w:rPr>
          <w:t>https://doi.org/10.1080/01425692.2013.820127</w:t>
        </w:r>
      </w:hyperlink>
      <w:r>
        <w:rPr>
          <w:rFonts w:ascii="Times New Roman" w:eastAsia="Times New Roman" w:hAnsi="Times New Roman" w:cs="Times New Roman"/>
          <w:sz w:val="24"/>
          <w:szCs w:val="24"/>
          <w:highlight w:val="white"/>
        </w:rPr>
        <w:t xml:space="preserve"> </w:t>
      </w:r>
    </w:p>
    <w:p w14:paraId="105FA4AA"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Reardon, S. F. (2011). The widening academic achievement gap between the rich and the poor: </w:t>
      </w:r>
      <w:proofErr w:type="gramStart"/>
      <w:r>
        <w:rPr>
          <w:rFonts w:ascii="Times New Roman" w:eastAsia="Times New Roman" w:hAnsi="Times New Roman" w:cs="Times New Roman"/>
          <w:color w:val="222222"/>
          <w:sz w:val="24"/>
          <w:szCs w:val="24"/>
          <w:highlight w:val="white"/>
        </w:rPr>
        <w:t>New</w:t>
      </w:r>
      <w:proofErr w:type="gramEnd"/>
      <w:r>
        <w:rPr>
          <w:rFonts w:ascii="Times New Roman" w:eastAsia="Times New Roman" w:hAnsi="Times New Roman" w:cs="Times New Roman"/>
          <w:color w:val="222222"/>
          <w:sz w:val="24"/>
          <w:szCs w:val="24"/>
          <w:highlight w:val="white"/>
        </w:rPr>
        <w:t xml:space="preserve"> evidence and possible explanations. In R. J. Murnane &amp; G. J. Duncan (Eds.), </w:t>
      </w:r>
      <w:r>
        <w:rPr>
          <w:rFonts w:ascii="Times New Roman" w:eastAsia="Times New Roman" w:hAnsi="Times New Roman" w:cs="Times New Roman"/>
          <w:i/>
          <w:iCs/>
          <w:color w:val="222222"/>
          <w:sz w:val="24"/>
          <w:szCs w:val="24"/>
          <w:highlight w:val="white"/>
        </w:rPr>
        <w:t>Whither opportunity? Rising inequality, schools, and children’s life chances</w:t>
      </w:r>
      <w:r>
        <w:rPr>
          <w:rFonts w:ascii="Times New Roman" w:eastAsia="Times New Roman" w:hAnsi="Times New Roman" w:cs="Times New Roman"/>
          <w:color w:val="222222"/>
          <w:sz w:val="24"/>
          <w:szCs w:val="24"/>
          <w:highlight w:val="white"/>
        </w:rPr>
        <w:t xml:space="preserve"> (pp. 91–116). Russell Sage Foundation. </w:t>
      </w:r>
    </w:p>
    <w:p w14:paraId="403CB6AB"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Reardon, S. F., Baker, R. B., &amp; </w:t>
      </w:r>
      <w:proofErr w:type="spellStart"/>
      <w:r>
        <w:rPr>
          <w:rFonts w:ascii="Times New Roman" w:eastAsia="Times New Roman" w:hAnsi="Times New Roman" w:cs="Times New Roman"/>
          <w:color w:val="222222"/>
          <w:sz w:val="24"/>
          <w:szCs w:val="24"/>
          <w:highlight w:val="white"/>
        </w:rPr>
        <w:t>Klasik</w:t>
      </w:r>
      <w:proofErr w:type="spellEnd"/>
      <w:r>
        <w:rPr>
          <w:rFonts w:ascii="Times New Roman" w:eastAsia="Times New Roman" w:hAnsi="Times New Roman" w:cs="Times New Roman"/>
          <w:color w:val="222222"/>
          <w:sz w:val="24"/>
          <w:szCs w:val="24"/>
          <w:highlight w:val="white"/>
        </w:rPr>
        <w:t>, D. (2012).</w:t>
      </w:r>
      <w:r>
        <w:rPr>
          <w:rFonts w:ascii="Times New Roman" w:eastAsia="Times New Roman" w:hAnsi="Times New Roman" w:cs="Times New Roman"/>
          <w:i/>
          <w:iCs/>
          <w:color w:val="222222"/>
          <w:sz w:val="24"/>
          <w:szCs w:val="24"/>
          <w:highlight w:val="white"/>
        </w:rPr>
        <w:t xml:space="preserve"> Race, income, and enrollment patterns in highly selective colleges, 1982–2004. </w:t>
      </w:r>
      <w:r>
        <w:rPr>
          <w:rFonts w:ascii="Times New Roman" w:eastAsia="Times New Roman" w:hAnsi="Times New Roman" w:cs="Times New Roman"/>
          <w:color w:val="222222"/>
          <w:sz w:val="24"/>
          <w:szCs w:val="24"/>
          <w:highlight w:val="white"/>
        </w:rPr>
        <w:t xml:space="preserve">Stanford University Center for Education Policy Analysis. </w:t>
      </w:r>
      <w:hyperlink r:id="rId48">
        <w:r>
          <w:rPr>
            <w:rFonts w:ascii="Times New Roman" w:eastAsia="Times New Roman" w:hAnsi="Times New Roman" w:cs="Times New Roman"/>
            <w:color w:val="1155CC"/>
            <w:sz w:val="24"/>
            <w:szCs w:val="24"/>
            <w:highlight w:val="white"/>
            <w:u w:val="single"/>
          </w:rPr>
          <w:t>https://cepa.stanford.edu/sites/default/files/race%20income%20%26%20selective%20college%20enrollment%20august%203%202012.pdf</w:t>
        </w:r>
      </w:hyperlink>
      <w:r>
        <w:rPr>
          <w:rFonts w:ascii="Times New Roman" w:eastAsia="Times New Roman" w:hAnsi="Times New Roman" w:cs="Times New Roman"/>
          <w:color w:val="222222"/>
          <w:sz w:val="24"/>
          <w:szCs w:val="24"/>
          <w:highlight w:val="white"/>
        </w:rPr>
        <w:t xml:space="preserve"> </w:t>
      </w:r>
    </w:p>
    <w:p w14:paraId="74389EB3"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Reay, D. (2017). ﻿</w:t>
      </w:r>
      <w:r>
        <w:rPr>
          <w:rFonts w:ascii="Times New Roman" w:eastAsia="Times New Roman" w:hAnsi="Times New Roman" w:cs="Times New Roman"/>
          <w:i/>
          <w:iCs/>
          <w:color w:val="222222"/>
          <w:sz w:val="24"/>
          <w:szCs w:val="24"/>
          <w:highlight w:val="white"/>
        </w:rPr>
        <w:t xml:space="preserve">Miseducation: Inequality, </w:t>
      </w:r>
      <w:proofErr w:type="gramStart"/>
      <w:r>
        <w:rPr>
          <w:rFonts w:ascii="Times New Roman" w:eastAsia="Times New Roman" w:hAnsi="Times New Roman" w:cs="Times New Roman"/>
          <w:i/>
          <w:iCs/>
          <w:color w:val="222222"/>
          <w:sz w:val="24"/>
          <w:szCs w:val="24"/>
          <w:highlight w:val="white"/>
        </w:rPr>
        <w:t>education</w:t>
      </w:r>
      <w:proofErr w:type="gramEnd"/>
      <w:r>
        <w:rPr>
          <w:rFonts w:ascii="Times New Roman" w:eastAsia="Times New Roman" w:hAnsi="Times New Roman" w:cs="Times New Roman"/>
          <w:i/>
          <w:iCs/>
          <w:color w:val="222222"/>
          <w:sz w:val="24"/>
          <w:szCs w:val="24"/>
          <w:highlight w:val="white"/>
        </w:rPr>
        <w:t xml:space="preserve"> and the working classes</w:t>
      </w:r>
      <w:r>
        <w:rPr>
          <w:rFonts w:ascii="Times New Roman" w:eastAsia="Times New Roman" w:hAnsi="Times New Roman" w:cs="Times New Roman"/>
          <w:color w:val="222222"/>
          <w:sz w:val="24"/>
          <w:szCs w:val="24"/>
          <w:highlight w:val="white"/>
        </w:rPr>
        <w:t>. Policy Press.</w:t>
      </w:r>
    </w:p>
    <w:p w14:paraId="3B2D3E66" w14:textId="77777777" w:rsidR="004C7857" w:rsidRDefault="00000000">
      <w:pPr>
        <w:spacing w:line="24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Ruby, A. (2017). Kazakhstan’s quest for a world-class university: The story so far. In M. Hartley &amp; A. Ruby (Eds.), </w:t>
      </w:r>
      <w:r>
        <w:rPr>
          <w:rFonts w:ascii="Times New Roman" w:eastAsia="Times New Roman" w:hAnsi="Times New Roman" w:cs="Times New Roman"/>
          <w:i/>
          <w:iCs/>
          <w:sz w:val="24"/>
          <w:szCs w:val="24"/>
          <w:highlight w:val="white"/>
        </w:rPr>
        <w:t xml:space="preserve">Higher education reform and development: The case of Kazakhstan </w:t>
      </w:r>
      <w:r>
        <w:rPr>
          <w:rFonts w:ascii="Times New Roman" w:eastAsia="Times New Roman" w:hAnsi="Times New Roman" w:cs="Times New Roman"/>
          <w:sz w:val="24"/>
          <w:szCs w:val="24"/>
          <w:highlight w:val="white"/>
        </w:rPr>
        <w:t>(pp. 29–46)</w:t>
      </w:r>
      <w:r>
        <w:rPr>
          <w:rFonts w:ascii="Times New Roman" w:eastAsia="Times New Roman" w:hAnsi="Times New Roman" w:cs="Times New Roman"/>
          <w:i/>
          <w:iCs/>
          <w:sz w:val="24"/>
          <w:szCs w:val="24"/>
          <w:highlight w:val="white"/>
        </w:rPr>
        <w:t xml:space="preserve">. </w:t>
      </w:r>
      <w:r>
        <w:rPr>
          <w:rFonts w:ascii="Times New Roman" w:eastAsia="Times New Roman" w:hAnsi="Times New Roman" w:cs="Times New Roman"/>
          <w:sz w:val="24"/>
          <w:szCs w:val="24"/>
          <w:highlight w:val="white"/>
        </w:rPr>
        <w:t xml:space="preserve">Cambridge University Press. </w:t>
      </w:r>
    </w:p>
    <w:p w14:paraId="51BFB52E"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Salmi, J. (2009). </w:t>
      </w:r>
      <w:r>
        <w:rPr>
          <w:rFonts w:ascii="Times New Roman" w:eastAsia="Times New Roman" w:hAnsi="Times New Roman" w:cs="Times New Roman"/>
          <w:i/>
          <w:iCs/>
          <w:color w:val="222222"/>
          <w:sz w:val="24"/>
          <w:szCs w:val="24"/>
          <w:highlight w:val="white"/>
        </w:rPr>
        <w:t>The challenge of establishing world-class universities</w:t>
      </w:r>
      <w:r>
        <w:rPr>
          <w:rFonts w:ascii="Times New Roman" w:eastAsia="Times New Roman" w:hAnsi="Times New Roman" w:cs="Times New Roman"/>
          <w:color w:val="222222"/>
          <w:sz w:val="24"/>
          <w:szCs w:val="24"/>
          <w:highlight w:val="white"/>
        </w:rPr>
        <w:t>. World Bank Publications.</w:t>
      </w:r>
    </w:p>
    <w:p w14:paraId="429695A7" w14:textId="77777777" w:rsidR="004C7857" w:rsidRDefault="00000000">
      <w:pPr>
        <w:spacing w:line="24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 xml:space="preserve">Shamash, R. (2018). (Re)production of the contemporary elite through higher education: A review of critical scholarship. </w:t>
      </w:r>
      <w:r>
        <w:rPr>
          <w:rFonts w:ascii="Times New Roman" w:eastAsia="Times New Roman" w:hAnsi="Times New Roman" w:cs="Times New Roman"/>
          <w:i/>
          <w:iCs/>
          <w:color w:val="222222"/>
          <w:sz w:val="24"/>
          <w:szCs w:val="24"/>
          <w:highlight w:val="white"/>
        </w:rPr>
        <w:t>Berkeley Review of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8</w:t>
      </w:r>
      <w:r>
        <w:rPr>
          <w:rFonts w:ascii="Times New Roman" w:eastAsia="Times New Roman" w:hAnsi="Times New Roman" w:cs="Times New Roman"/>
          <w:color w:val="222222"/>
          <w:sz w:val="24"/>
          <w:szCs w:val="24"/>
          <w:highlight w:val="white"/>
        </w:rPr>
        <w:t>(1).</w:t>
      </w:r>
      <w:r>
        <w:rPr>
          <w:rFonts w:ascii="Times New Roman" w:eastAsia="Times New Roman" w:hAnsi="Times New Roman" w:cs="Times New Roman"/>
          <w:sz w:val="24"/>
          <w:szCs w:val="24"/>
          <w:highlight w:val="white"/>
        </w:rPr>
        <w:t xml:space="preserve"> </w:t>
      </w:r>
      <w:hyperlink r:id="rId49">
        <w:r>
          <w:rPr>
            <w:rFonts w:ascii="Times New Roman" w:eastAsia="Times New Roman" w:hAnsi="Times New Roman" w:cs="Times New Roman"/>
            <w:color w:val="1155CC"/>
            <w:sz w:val="24"/>
            <w:szCs w:val="24"/>
            <w:highlight w:val="white"/>
            <w:u w:val="single"/>
          </w:rPr>
          <w:t>https://doi.org/10.5070/B88134482</w:t>
        </w:r>
      </w:hyperlink>
      <w:r>
        <w:rPr>
          <w:rFonts w:ascii="Times New Roman" w:eastAsia="Times New Roman" w:hAnsi="Times New Roman" w:cs="Times New Roman"/>
          <w:sz w:val="24"/>
          <w:szCs w:val="24"/>
          <w:highlight w:val="white"/>
        </w:rPr>
        <w:t xml:space="preserve"> </w:t>
      </w:r>
    </w:p>
    <w:p w14:paraId="25F80FBF" w14:textId="77777777" w:rsidR="004C7857" w:rsidRDefault="00000000">
      <w:pPr>
        <w:spacing w:line="240" w:lineRule="auto"/>
        <w:ind w:left="720" w:hanging="720"/>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color w:val="000000"/>
          <w:sz w:val="24"/>
          <w:szCs w:val="24"/>
          <w:highlight w:val="white"/>
        </w:rPr>
        <w:t>Shamshidinova</w:t>
      </w:r>
      <w:proofErr w:type="spellEnd"/>
      <w:r>
        <w:rPr>
          <w:rFonts w:ascii="Times New Roman" w:eastAsia="Times New Roman" w:hAnsi="Times New Roman" w:cs="Times New Roman"/>
          <w:color w:val="000000"/>
          <w:sz w:val="24"/>
          <w:szCs w:val="24"/>
          <w:highlight w:val="white"/>
        </w:rPr>
        <w:t xml:space="preserve">, K., </w:t>
      </w:r>
      <w:proofErr w:type="spellStart"/>
      <w:r>
        <w:rPr>
          <w:rFonts w:ascii="Times New Roman" w:eastAsia="Times New Roman" w:hAnsi="Times New Roman" w:cs="Times New Roman"/>
          <w:color w:val="000000"/>
          <w:sz w:val="24"/>
          <w:szCs w:val="24"/>
          <w:highlight w:val="white"/>
        </w:rPr>
        <w:t>Ayubayeva</w:t>
      </w:r>
      <w:proofErr w:type="spellEnd"/>
      <w:r>
        <w:rPr>
          <w:rFonts w:ascii="Times New Roman" w:eastAsia="Times New Roman" w:hAnsi="Times New Roman" w:cs="Times New Roman"/>
          <w:color w:val="000000"/>
          <w:sz w:val="24"/>
          <w:szCs w:val="24"/>
          <w:highlight w:val="white"/>
        </w:rPr>
        <w:t xml:space="preserve">, N., &amp; Bridges, D. (2014). Implementing </w:t>
      </w:r>
      <w:r>
        <w:rPr>
          <w:rFonts w:ascii="Times New Roman" w:eastAsia="Times New Roman" w:hAnsi="Times New Roman" w:cs="Times New Roman"/>
          <w:sz w:val="24"/>
          <w:szCs w:val="24"/>
          <w:highlight w:val="white"/>
        </w:rPr>
        <w:t>r</w:t>
      </w:r>
      <w:r>
        <w:rPr>
          <w:rFonts w:ascii="Times New Roman" w:eastAsia="Times New Roman" w:hAnsi="Times New Roman" w:cs="Times New Roman"/>
          <w:color w:val="000000"/>
          <w:sz w:val="24"/>
          <w:szCs w:val="24"/>
          <w:highlight w:val="white"/>
        </w:rPr>
        <w:t xml:space="preserve">adical </w:t>
      </w:r>
      <w:r>
        <w:rPr>
          <w:rFonts w:ascii="Times New Roman" w:eastAsia="Times New Roman" w:hAnsi="Times New Roman" w:cs="Times New Roman"/>
          <w:sz w:val="24"/>
          <w:szCs w:val="24"/>
          <w:highlight w:val="white"/>
        </w:rPr>
        <w:t>c</w:t>
      </w:r>
      <w:r>
        <w:rPr>
          <w:rFonts w:ascii="Times New Roman" w:eastAsia="Times New Roman" w:hAnsi="Times New Roman" w:cs="Times New Roman"/>
          <w:color w:val="000000"/>
          <w:sz w:val="24"/>
          <w:szCs w:val="24"/>
          <w:highlight w:val="white"/>
        </w:rPr>
        <w:t xml:space="preserve">hange: Nazarbayev Intellectual Schools as </w:t>
      </w:r>
      <w:r>
        <w:rPr>
          <w:rFonts w:ascii="Times New Roman" w:eastAsia="Times New Roman" w:hAnsi="Times New Roman" w:cs="Times New Roman"/>
          <w:sz w:val="24"/>
          <w:szCs w:val="24"/>
          <w:highlight w:val="white"/>
        </w:rPr>
        <w:t>a</w:t>
      </w:r>
      <w:r>
        <w:rPr>
          <w:rFonts w:ascii="Times New Roman" w:eastAsia="Times New Roman" w:hAnsi="Times New Roman" w:cs="Times New Roman"/>
          <w:color w:val="000000"/>
          <w:sz w:val="24"/>
          <w:szCs w:val="24"/>
          <w:highlight w:val="white"/>
        </w:rPr>
        <w:t xml:space="preserve">gents of </w:t>
      </w:r>
      <w:r>
        <w:rPr>
          <w:rFonts w:ascii="Times New Roman" w:eastAsia="Times New Roman" w:hAnsi="Times New Roman" w:cs="Times New Roman"/>
          <w:sz w:val="24"/>
          <w:szCs w:val="24"/>
          <w:highlight w:val="white"/>
        </w:rPr>
        <w:t>c</w:t>
      </w:r>
      <w:r>
        <w:rPr>
          <w:rFonts w:ascii="Times New Roman" w:eastAsia="Times New Roman" w:hAnsi="Times New Roman" w:cs="Times New Roman"/>
          <w:color w:val="000000"/>
          <w:sz w:val="24"/>
          <w:szCs w:val="24"/>
          <w:highlight w:val="white"/>
        </w:rPr>
        <w:t xml:space="preserve">hange. In D. Bridges (Ed.), </w:t>
      </w:r>
      <w:r>
        <w:rPr>
          <w:rFonts w:ascii="Times New Roman" w:eastAsia="Times New Roman" w:hAnsi="Times New Roman" w:cs="Times New Roman"/>
          <w:i/>
          <w:iCs/>
          <w:color w:val="000000"/>
          <w:sz w:val="24"/>
          <w:szCs w:val="24"/>
          <w:highlight w:val="white"/>
        </w:rPr>
        <w:t xml:space="preserve">Educational </w:t>
      </w:r>
      <w:r>
        <w:rPr>
          <w:rFonts w:ascii="Times New Roman" w:eastAsia="Times New Roman" w:hAnsi="Times New Roman" w:cs="Times New Roman"/>
          <w:i/>
          <w:iCs/>
          <w:sz w:val="24"/>
          <w:szCs w:val="24"/>
          <w:highlight w:val="white"/>
        </w:rPr>
        <w:t>r</w:t>
      </w:r>
      <w:r>
        <w:rPr>
          <w:rFonts w:ascii="Times New Roman" w:eastAsia="Times New Roman" w:hAnsi="Times New Roman" w:cs="Times New Roman"/>
          <w:i/>
          <w:iCs/>
          <w:color w:val="000000"/>
          <w:sz w:val="24"/>
          <w:szCs w:val="24"/>
          <w:highlight w:val="white"/>
        </w:rPr>
        <w:t xml:space="preserve">eform and </w:t>
      </w:r>
      <w:proofErr w:type="spellStart"/>
      <w:r>
        <w:rPr>
          <w:rFonts w:ascii="Times New Roman" w:eastAsia="Times New Roman" w:hAnsi="Times New Roman" w:cs="Times New Roman"/>
          <w:i/>
          <w:iCs/>
          <w:sz w:val="24"/>
          <w:szCs w:val="24"/>
          <w:highlight w:val="white"/>
        </w:rPr>
        <w:t>i</w:t>
      </w:r>
      <w:r>
        <w:rPr>
          <w:rFonts w:ascii="Times New Roman" w:eastAsia="Times New Roman" w:hAnsi="Times New Roman" w:cs="Times New Roman"/>
          <w:i/>
          <w:iCs/>
          <w:color w:val="000000"/>
          <w:sz w:val="24"/>
          <w:szCs w:val="24"/>
          <w:highlight w:val="white"/>
        </w:rPr>
        <w:t>nternationalisation</w:t>
      </w:r>
      <w:proofErr w:type="spellEnd"/>
      <w:r>
        <w:rPr>
          <w:rFonts w:ascii="Times New Roman" w:eastAsia="Times New Roman" w:hAnsi="Times New Roman" w:cs="Times New Roman"/>
          <w:i/>
          <w:iCs/>
          <w:color w:val="000000"/>
          <w:sz w:val="24"/>
          <w:szCs w:val="24"/>
          <w:highlight w:val="white"/>
        </w:rPr>
        <w:t xml:space="preserve">: The </w:t>
      </w:r>
      <w:r>
        <w:rPr>
          <w:rFonts w:ascii="Times New Roman" w:eastAsia="Times New Roman" w:hAnsi="Times New Roman" w:cs="Times New Roman"/>
          <w:i/>
          <w:iCs/>
          <w:sz w:val="24"/>
          <w:szCs w:val="24"/>
          <w:highlight w:val="white"/>
        </w:rPr>
        <w:t>c</w:t>
      </w:r>
      <w:r>
        <w:rPr>
          <w:rFonts w:ascii="Times New Roman" w:eastAsia="Times New Roman" w:hAnsi="Times New Roman" w:cs="Times New Roman"/>
          <w:i/>
          <w:iCs/>
          <w:color w:val="000000"/>
          <w:sz w:val="24"/>
          <w:szCs w:val="24"/>
          <w:highlight w:val="white"/>
        </w:rPr>
        <w:t xml:space="preserve">ase of </w:t>
      </w:r>
      <w:r>
        <w:rPr>
          <w:rFonts w:ascii="Times New Roman" w:eastAsia="Times New Roman" w:hAnsi="Times New Roman" w:cs="Times New Roman"/>
          <w:i/>
          <w:iCs/>
          <w:sz w:val="24"/>
          <w:szCs w:val="24"/>
          <w:highlight w:val="white"/>
        </w:rPr>
        <w:t>s</w:t>
      </w:r>
      <w:r>
        <w:rPr>
          <w:rFonts w:ascii="Times New Roman" w:eastAsia="Times New Roman" w:hAnsi="Times New Roman" w:cs="Times New Roman"/>
          <w:i/>
          <w:iCs/>
          <w:color w:val="000000"/>
          <w:sz w:val="24"/>
          <w:szCs w:val="24"/>
          <w:highlight w:val="white"/>
        </w:rPr>
        <w:t xml:space="preserve">chool </w:t>
      </w:r>
      <w:r>
        <w:rPr>
          <w:rFonts w:ascii="Times New Roman" w:eastAsia="Times New Roman" w:hAnsi="Times New Roman" w:cs="Times New Roman"/>
          <w:i/>
          <w:iCs/>
          <w:sz w:val="24"/>
          <w:szCs w:val="24"/>
          <w:highlight w:val="white"/>
        </w:rPr>
        <w:t>r</w:t>
      </w:r>
      <w:r>
        <w:rPr>
          <w:rFonts w:ascii="Times New Roman" w:eastAsia="Times New Roman" w:hAnsi="Times New Roman" w:cs="Times New Roman"/>
          <w:i/>
          <w:iCs/>
          <w:color w:val="000000"/>
          <w:sz w:val="24"/>
          <w:szCs w:val="24"/>
          <w:highlight w:val="white"/>
        </w:rPr>
        <w:t xml:space="preserve">eform in Kazakhstan </w:t>
      </w:r>
      <w:r>
        <w:rPr>
          <w:rFonts w:ascii="Times New Roman" w:eastAsia="Times New Roman" w:hAnsi="Times New Roman" w:cs="Times New Roman"/>
          <w:color w:val="000000"/>
          <w:sz w:val="24"/>
          <w:szCs w:val="24"/>
          <w:highlight w:val="white"/>
        </w:rPr>
        <w:t>(pp. 107</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116)</w:t>
      </w:r>
      <w:r>
        <w:rPr>
          <w:rFonts w:ascii="Times New Roman" w:eastAsia="Times New Roman" w:hAnsi="Times New Roman" w:cs="Times New Roman"/>
          <w:i/>
          <w:iCs/>
          <w:color w:val="000000"/>
          <w:sz w:val="24"/>
          <w:szCs w:val="24"/>
          <w:highlight w:val="white"/>
        </w:rPr>
        <w:t xml:space="preserve">. </w:t>
      </w:r>
      <w:r>
        <w:rPr>
          <w:rFonts w:ascii="Times New Roman" w:eastAsia="Times New Roman" w:hAnsi="Times New Roman" w:cs="Times New Roman"/>
          <w:color w:val="000000"/>
          <w:sz w:val="24"/>
          <w:szCs w:val="24"/>
          <w:highlight w:val="white"/>
        </w:rPr>
        <w:t>Cambridge University Press.</w:t>
      </w:r>
    </w:p>
    <w:p w14:paraId="3880D154" w14:textId="77777777" w:rsidR="004C7857" w:rsidRDefault="00000000">
      <w:pPr>
        <w:spacing w:line="24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Sirin, S. R. (2005). Socioeconomic status and academic achievement: A meta-analytic review of research. </w:t>
      </w:r>
      <w:r>
        <w:rPr>
          <w:rFonts w:ascii="Times New Roman" w:eastAsia="Times New Roman" w:hAnsi="Times New Roman" w:cs="Times New Roman"/>
          <w:i/>
          <w:iCs/>
          <w:sz w:val="24"/>
          <w:szCs w:val="24"/>
          <w:highlight w:val="white"/>
        </w:rPr>
        <w:t>Review of Educational Research, 75</w:t>
      </w:r>
      <w:r>
        <w:rPr>
          <w:rFonts w:ascii="Times New Roman" w:eastAsia="Times New Roman" w:hAnsi="Times New Roman" w:cs="Times New Roman"/>
          <w:sz w:val="24"/>
          <w:szCs w:val="24"/>
          <w:highlight w:val="white"/>
        </w:rPr>
        <w:t>(3), 417–453.</w:t>
      </w:r>
      <w:hyperlink r:id="rId50">
        <w:r>
          <w:rPr>
            <w:rFonts w:ascii="Times New Roman" w:eastAsia="Times New Roman" w:hAnsi="Times New Roman" w:cs="Times New Roman"/>
            <w:sz w:val="24"/>
            <w:szCs w:val="24"/>
            <w:highlight w:val="white"/>
          </w:rPr>
          <w:t xml:space="preserve"> </w:t>
        </w:r>
      </w:hyperlink>
      <w:hyperlink r:id="rId51">
        <w:r>
          <w:rPr>
            <w:rFonts w:ascii="Times New Roman" w:eastAsia="Times New Roman" w:hAnsi="Times New Roman" w:cs="Times New Roman"/>
            <w:color w:val="1155CC"/>
            <w:sz w:val="24"/>
            <w:szCs w:val="24"/>
            <w:highlight w:val="white"/>
            <w:u w:val="single"/>
          </w:rPr>
          <w:t>https://doi.org/10.3102/00346543075003417</w:t>
        </w:r>
      </w:hyperlink>
      <w:r>
        <w:rPr>
          <w:rFonts w:ascii="Times New Roman" w:eastAsia="Times New Roman" w:hAnsi="Times New Roman" w:cs="Times New Roman"/>
          <w:sz w:val="24"/>
          <w:szCs w:val="24"/>
          <w:highlight w:val="white"/>
        </w:rPr>
        <w:t xml:space="preserve"> </w:t>
      </w:r>
    </w:p>
    <w:p w14:paraId="40EB4D2C" w14:textId="77777777" w:rsidR="004C7857" w:rsidRDefault="00000000">
      <w:pPr>
        <w:spacing w:line="24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Times Higher Education. (2025). </w:t>
      </w:r>
      <w:r>
        <w:rPr>
          <w:rFonts w:ascii="Times New Roman" w:eastAsia="Times New Roman" w:hAnsi="Times New Roman" w:cs="Times New Roman"/>
          <w:i/>
          <w:iCs/>
          <w:sz w:val="24"/>
          <w:szCs w:val="24"/>
          <w:highlight w:val="white"/>
        </w:rPr>
        <w:t>World universities rankings 2026: Nazarbayev University</w:t>
      </w:r>
      <w:r>
        <w:rPr>
          <w:rFonts w:ascii="Times New Roman" w:eastAsia="Times New Roman" w:hAnsi="Times New Roman" w:cs="Times New Roman"/>
          <w:sz w:val="24"/>
          <w:szCs w:val="24"/>
          <w:highlight w:val="white"/>
        </w:rPr>
        <w:t xml:space="preserve">. </w:t>
      </w:r>
      <w:hyperlink r:id="rId52">
        <w:r>
          <w:rPr>
            <w:rFonts w:ascii="Times New Roman" w:eastAsia="Times New Roman" w:hAnsi="Times New Roman" w:cs="Times New Roman"/>
            <w:color w:val="0000FF"/>
            <w:sz w:val="24"/>
            <w:szCs w:val="24"/>
            <w:highlight w:val="white"/>
            <w:u w:val="single"/>
          </w:rPr>
          <w:t>https://www.timeshighereducation.com/world-university-rankings/nazarbayev-university</w:t>
        </w:r>
      </w:hyperlink>
      <w:r>
        <w:rPr>
          <w:rFonts w:ascii="Times New Roman" w:eastAsia="Times New Roman" w:hAnsi="Times New Roman" w:cs="Times New Roman"/>
          <w:sz w:val="24"/>
          <w:szCs w:val="24"/>
          <w:highlight w:val="white"/>
        </w:rPr>
        <w:t xml:space="preserve"> </w:t>
      </w:r>
    </w:p>
    <w:p w14:paraId="1DFC59AB"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sz w:val="24"/>
          <w:szCs w:val="24"/>
          <w:highlight w:val="white"/>
        </w:rPr>
        <w:lastRenderedPageBreak/>
        <w:t>Triventi</w:t>
      </w:r>
      <w:proofErr w:type="spellEnd"/>
      <w:r>
        <w:rPr>
          <w:rFonts w:ascii="Times New Roman" w:eastAsia="Times New Roman" w:hAnsi="Times New Roman" w:cs="Times New Roman"/>
          <w:sz w:val="24"/>
          <w:szCs w:val="24"/>
          <w:highlight w:val="white"/>
        </w:rPr>
        <w:t xml:space="preserve">, M. (2013). Stratification in higher education and its relationship with social inequality: A comparative study of 11 European countries. </w:t>
      </w:r>
      <w:r>
        <w:rPr>
          <w:rFonts w:ascii="Times New Roman" w:eastAsia="Times New Roman" w:hAnsi="Times New Roman" w:cs="Times New Roman"/>
          <w:i/>
          <w:iCs/>
          <w:sz w:val="24"/>
          <w:szCs w:val="24"/>
          <w:highlight w:val="white"/>
        </w:rPr>
        <w:t>European Sociological Review</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29</w:t>
      </w:r>
      <w:r>
        <w:rPr>
          <w:rFonts w:ascii="Times New Roman" w:eastAsia="Times New Roman" w:hAnsi="Times New Roman" w:cs="Times New Roman"/>
          <w:sz w:val="24"/>
          <w:szCs w:val="24"/>
          <w:highlight w:val="white"/>
        </w:rPr>
        <w:t xml:space="preserve">(3), 489–502. </w:t>
      </w:r>
      <w:hyperlink r:id="rId53">
        <w:r>
          <w:rPr>
            <w:rFonts w:ascii="Times New Roman" w:eastAsia="Times New Roman" w:hAnsi="Times New Roman" w:cs="Times New Roman"/>
            <w:color w:val="0000FF"/>
            <w:sz w:val="24"/>
            <w:szCs w:val="24"/>
            <w:highlight w:val="white"/>
            <w:u w:val="single"/>
          </w:rPr>
          <w:t>https://doi.org/10.1093/esr/jcr092</w:t>
        </w:r>
      </w:hyperlink>
      <w:r>
        <w:rPr>
          <w:rFonts w:ascii="Times New Roman" w:eastAsia="Times New Roman" w:hAnsi="Times New Roman" w:cs="Times New Roman"/>
          <w:sz w:val="24"/>
          <w:szCs w:val="24"/>
          <w:highlight w:val="white"/>
        </w:rPr>
        <w:t xml:space="preserve"> </w:t>
      </w:r>
    </w:p>
    <w:p w14:paraId="7508AFF0"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sz w:val="24"/>
          <w:szCs w:val="24"/>
          <w:highlight w:val="white"/>
        </w:rPr>
        <w:t>Unterhalter</w:t>
      </w:r>
      <w:proofErr w:type="spellEnd"/>
      <w:r>
        <w:rPr>
          <w:rFonts w:ascii="Times New Roman" w:eastAsia="Times New Roman" w:hAnsi="Times New Roman" w:cs="Times New Roman"/>
          <w:sz w:val="24"/>
          <w:szCs w:val="24"/>
          <w:highlight w:val="white"/>
        </w:rPr>
        <w:t xml:space="preserve">, E., &amp; </w:t>
      </w:r>
      <w:proofErr w:type="spellStart"/>
      <w:r>
        <w:rPr>
          <w:rFonts w:ascii="Times New Roman" w:eastAsia="Times New Roman" w:hAnsi="Times New Roman" w:cs="Times New Roman"/>
          <w:sz w:val="24"/>
          <w:szCs w:val="24"/>
          <w:highlight w:val="white"/>
        </w:rPr>
        <w:t>Carpentier</w:t>
      </w:r>
      <w:proofErr w:type="spellEnd"/>
      <w:r>
        <w:rPr>
          <w:rFonts w:ascii="Times New Roman" w:eastAsia="Times New Roman" w:hAnsi="Times New Roman" w:cs="Times New Roman"/>
          <w:sz w:val="24"/>
          <w:szCs w:val="24"/>
          <w:highlight w:val="white"/>
        </w:rPr>
        <w:t xml:space="preserve">, V. (2010). </w:t>
      </w:r>
      <w:r>
        <w:rPr>
          <w:rFonts w:ascii="Times New Roman" w:eastAsia="Times New Roman" w:hAnsi="Times New Roman" w:cs="Times New Roman"/>
          <w:i/>
          <w:iCs/>
          <w:sz w:val="24"/>
          <w:szCs w:val="24"/>
          <w:highlight w:val="white"/>
        </w:rPr>
        <w:t xml:space="preserve">Global inequalities and higher education: Whose interests are you serving? </w:t>
      </w:r>
      <w:r>
        <w:rPr>
          <w:rFonts w:ascii="Times New Roman" w:eastAsia="Times New Roman" w:hAnsi="Times New Roman" w:cs="Times New Roman"/>
          <w:sz w:val="24"/>
          <w:szCs w:val="24"/>
          <w:highlight w:val="white"/>
        </w:rPr>
        <w:t>Bloomsbury Publishing.</w:t>
      </w:r>
    </w:p>
    <w:p w14:paraId="69527A94"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Varantola</w:t>
      </w:r>
      <w:proofErr w:type="spellEnd"/>
      <w:r>
        <w:rPr>
          <w:rFonts w:ascii="Times New Roman" w:eastAsia="Times New Roman" w:hAnsi="Times New Roman" w:cs="Times New Roman"/>
          <w:color w:val="222222"/>
          <w:sz w:val="24"/>
          <w:szCs w:val="24"/>
          <w:highlight w:val="white"/>
        </w:rPr>
        <w:t xml:space="preserve">, K., </w:t>
      </w:r>
      <w:proofErr w:type="spellStart"/>
      <w:r>
        <w:rPr>
          <w:rFonts w:ascii="Times New Roman" w:eastAsia="Times New Roman" w:hAnsi="Times New Roman" w:cs="Times New Roman"/>
          <w:color w:val="222222"/>
          <w:sz w:val="24"/>
          <w:szCs w:val="24"/>
          <w:highlight w:val="white"/>
        </w:rPr>
        <w:t>Dimovska</w:t>
      </w:r>
      <w:proofErr w:type="spellEnd"/>
      <w:r>
        <w:rPr>
          <w:rFonts w:ascii="Times New Roman" w:eastAsia="Times New Roman" w:hAnsi="Times New Roman" w:cs="Times New Roman"/>
          <w:color w:val="222222"/>
          <w:sz w:val="24"/>
          <w:szCs w:val="24"/>
          <w:highlight w:val="white"/>
        </w:rPr>
        <w:t xml:space="preserve">, S., </w:t>
      </w:r>
      <w:proofErr w:type="spellStart"/>
      <w:r>
        <w:rPr>
          <w:rFonts w:ascii="Times New Roman" w:eastAsia="Times New Roman" w:hAnsi="Times New Roman" w:cs="Times New Roman"/>
          <w:color w:val="222222"/>
          <w:sz w:val="24"/>
          <w:szCs w:val="24"/>
          <w:highlight w:val="white"/>
        </w:rPr>
        <w:t>Emel</w:t>
      </w:r>
      <w:proofErr w:type="spellEnd"/>
      <w:r>
        <w:rPr>
          <w:rFonts w:ascii="Times New Roman" w:eastAsia="Times New Roman" w:hAnsi="Times New Roman" w:cs="Times New Roman"/>
          <w:color w:val="222222"/>
          <w:sz w:val="24"/>
          <w:szCs w:val="24"/>
          <w:highlight w:val="white"/>
        </w:rPr>
        <w:t xml:space="preserve">, E., </w:t>
      </w:r>
      <w:proofErr w:type="spellStart"/>
      <w:r>
        <w:rPr>
          <w:rFonts w:ascii="Times New Roman" w:eastAsia="Times New Roman" w:hAnsi="Times New Roman" w:cs="Times New Roman"/>
          <w:color w:val="222222"/>
          <w:sz w:val="24"/>
          <w:szCs w:val="24"/>
          <w:highlight w:val="white"/>
        </w:rPr>
        <w:t>Wysokiński</w:t>
      </w:r>
      <w:proofErr w:type="spellEnd"/>
      <w:r>
        <w:rPr>
          <w:rFonts w:ascii="Times New Roman" w:eastAsia="Times New Roman" w:hAnsi="Times New Roman" w:cs="Times New Roman"/>
          <w:color w:val="222222"/>
          <w:sz w:val="24"/>
          <w:szCs w:val="24"/>
          <w:highlight w:val="white"/>
        </w:rPr>
        <w:t xml:space="preserve">, K., &amp; </w:t>
      </w:r>
      <w:proofErr w:type="spellStart"/>
      <w:r>
        <w:rPr>
          <w:rFonts w:ascii="Times New Roman" w:eastAsia="Times New Roman" w:hAnsi="Times New Roman" w:cs="Times New Roman"/>
          <w:color w:val="222222"/>
          <w:sz w:val="24"/>
          <w:szCs w:val="24"/>
          <w:highlight w:val="white"/>
        </w:rPr>
        <w:t>Rozsnyai</w:t>
      </w:r>
      <w:proofErr w:type="spellEnd"/>
      <w:r>
        <w:rPr>
          <w:rFonts w:ascii="Times New Roman" w:eastAsia="Times New Roman" w:hAnsi="Times New Roman" w:cs="Times New Roman"/>
          <w:color w:val="222222"/>
          <w:sz w:val="24"/>
          <w:szCs w:val="24"/>
          <w:highlight w:val="white"/>
        </w:rPr>
        <w:t xml:space="preserve">, C. (2017). </w:t>
      </w:r>
      <w:r>
        <w:rPr>
          <w:rFonts w:ascii="Times New Roman" w:eastAsia="Times New Roman" w:hAnsi="Times New Roman" w:cs="Times New Roman"/>
          <w:i/>
          <w:iCs/>
          <w:color w:val="222222"/>
          <w:sz w:val="24"/>
          <w:szCs w:val="24"/>
          <w:highlight w:val="white"/>
        </w:rPr>
        <w:t xml:space="preserve">Nazarbayev University evaluation report. </w:t>
      </w:r>
      <w:r>
        <w:rPr>
          <w:rFonts w:ascii="Times New Roman" w:eastAsia="Times New Roman" w:hAnsi="Times New Roman" w:cs="Times New Roman"/>
          <w:color w:val="222222"/>
          <w:sz w:val="24"/>
          <w:szCs w:val="24"/>
          <w:highlight w:val="white"/>
        </w:rPr>
        <w:t xml:space="preserve">EUA Institutional Evaluation </w:t>
      </w:r>
      <w:proofErr w:type="spellStart"/>
      <w:r>
        <w:rPr>
          <w:rFonts w:ascii="Times New Roman" w:eastAsia="Times New Roman" w:hAnsi="Times New Roman" w:cs="Times New Roman"/>
          <w:color w:val="222222"/>
          <w:sz w:val="24"/>
          <w:szCs w:val="24"/>
          <w:highlight w:val="white"/>
        </w:rPr>
        <w:t>Programme</w:t>
      </w:r>
      <w:proofErr w:type="spellEnd"/>
      <w:r>
        <w:rPr>
          <w:rFonts w:ascii="Times New Roman" w:eastAsia="Times New Roman" w:hAnsi="Times New Roman" w:cs="Times New Roman"/>
          <w:color w:val="222222"/>
          <w:sz w:val="24"/>
          <w:szCs w:val="24"/>
          <w:highlight w:val="white"/>
        </w:rPr>
        <w:t xml:space="preserve">. </w:t>
      </w:r>
      <w:hyperlink r:id="rId54">
        <w:r>
          <w:rPr>
            <w:rFonts w:ascii="Times New Roman" w:eastAsia="Times New Roman" w:hAnsi="Times New Roman" w:cs="Times New Roman"/>
            <w:color w:val="1155CC"/>
            <w:sz w:val="24"/>
            <w:szCs w:val="24"/>
            <w:highlight w:val="white"/>
            <w:u w:val="single"/>
          </w:rPr>
          <w:t>https://nu.edu.kz/wp-content/uploads/2025/11/iep_report-final_nu.pdf</w:t>
        </w:r>
      </w:hyperlink>
      <w:r>
        <w:rPr>
          <w:rFonts w:ascii="Times New Roman" w:eastAsia="Times New Roman" w:hAnsi="Times New Roman" w:cs="Times New Roman"/>
          <w:color w:val="222222"/>
          <w:sz w:val="24"/>
          <w:szCs w:val="24"/>
          <w:highlight w:val="white"/>
        </w:rPr>
        <w:t xml:space="preserve"> </w:t>
      </w:r>
    </w:p>
    <w:p w14:paraId="1C356B4A" w14:textId="77777777" w:rsidR="004C7857" w:rsidRDefault="00000000">
      <w:pPr>
        <w:spacing w:line="24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Wang, L. . (2023, October 31). </w:t>
      </w:r>
      <w:r>
        <w:rPr>
          <w:rFonts w:ascii="Times New Roman" w:eastAsia="Times New Roman" w:hAnsi="Times New Roman" w:cs="Times New Roman"/>
          <w:i/>
          <w:iCs/>
          <w:sz w:val="24"/>
          <w:szCs w:val="24"/>
          <w:highlight w:val="white"/>
        </w:rPr>
        <w:t xml:space="preserve">Equity, </w:t>
      </w:r>
      <w:proofErr w:type="gramStart"/>
      <w:r>
        <w:rPr>
          <w:rFonts w:ascii="Times New Roman" w:eastAsia="Times New Roman" w:hAnsi="Times New Roman" w:cs="Times New Roman"/>
          <w:i/>
          <w:iCs/>
          <w:sz w:val="24"/>
          <w:szCs w:val="24"/>
          <w:highlight w:val="white"/>
        </w:rPr>
        <w:t>inclusion</w:t>
      </w:r>
      <w:proofErr w:type="gramEnd"/>
      <w:r>
        <w:rPr>
          <w:rFonts w:ascii="Times New Roman" w:eastAsia="Times New Roman" w:hAnsi="Times New Roman" w:cs="Times New Roman"/>
          <w:i/>
          <w:iCs/>
          <w:sz w:val="24"/>
          <w:szCs w:val="24"/>
          <w:highlight w:val="white"/>
        </w:rPr>
        <w:t xml:space="preserve"> and the transformation of higher education.</w:t>
      </w:r>
      <w:r>
        <w:rPr>
          <w:rFonts w:ascii="Times New Roman" w:eastAsia="Times New Roman" w:hAnsi="Times New Roman" w:cs="Times New Roman"/>
          <w:sz w:val="24"/>
          <w:szCs w:val="24"/>
          <w:highlight w:val="white"/>
        </w:rPr>
        <w:t xml:space="preserve"> UNESCO. </w:t>
      </w:r>
      <w:hyperlink r:id="rId55">
        <w:r>
          <w:rPr>
            <w:rFonts w:ascii="Times New Roman" w:eastAsia="Times New Roman" w:hAnsi="Times New Roman" w:cs="Times New Roman"/>
            <w:color w:val="1155CC"/>
            <w:sz w:val="24"/>
            <w:szCs w:val="24"/>
            <w:highlight w:val="white"/>
            <w:u w:val="single"/>
          </w:rPr>
          <w:t>https://www.unesco.org/en/articles/equity-inclusion-and-transformation-higher-education</w:t>
        </w:r>
      </w:hyperlink>
      <w:r>
        <w:rPr>
          <w:rFonts w:ascii="Times New Roman" w:eastAsia="Times New Roman" w:hAnsi="Times New Roman" w:cs="Times New Roman"/>
          <w:sz w:val="24"/>
          <w:szCs w:val="24"/>
          <w:highlight w:val="white"/>
        </w:rPr>
        <w:t xml:space="preserve"> </w:t>
      </w:r>
    </w:p>
    <w:p w14:paraId="4861C276"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Wen, W., Zhou, L., Zhang, M., &amp; Hu, D. (2023). Urban/rural disparities in access to elite higher education: The case of Tsinghua University. </w:t>
      </w:r>
      <w:r>
        <w:rPr>
          <w:rFonts w:ascii="Times New Roman" w:eastAsia="Times New Roman" w:hAnsi="Times New Roman" w:cs="Times New Roman"/>
          <w:i/>
          <w:iCs/>
          <w:color w:val="222222"/>
          <w:sz w:val="24"/>
          <w:szCs w:val="24"/>
          <w:highlight w:val="white"/>
        </w:rPr>
        <w:t>International Journal of Chinese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12</w:t>
      </w:r>
      <w:r>
        <w:rPr>
          <w:rFonts w:ascii="Times New Roman" w:eastAsia="Times New Roman" w:hAnsi="Times New Roman" w:cs="Times New Roman"/>
          <w:color w:val="222222"/>
          <w:sz w:val="24"/>
          <w:szCs w:val="24"/>
          <w:highlight w:val="white"/>
        </w:rPr>
        <w:t xml:space="preserve">(2), Article 2212585X231189338. </w:t>
      </w:r>
      <w:hyperlink r:id="rId56">
        <w:r>
          <w:rPr>
            <w:rFonts w:ascii="Times New Roman" w:eastAsia="Times New Roman" w:hAnsi="Times New Roman" w:cs="Times New Roman"/>
            <w:color w:val="1155CC"/>
            <w:sz w:val="24"/>
            <w:szCs w:val="24"/>
            <w:highlight w:val="white"/>
            <w:u w:val="single"/>
          </w:rPr>
          <w:t>https://doi.org/10.1177/2212585X231189338</w:t>
        </w:r>
      </w:hyperlink>
      <w:r>
        <w:rPr>
          <w:rFonts w:ascii="Times New Roman" w:eastAsia="Times New Roman" w:hAnsi="Times New Roman" w:cs="Times New Roman"/>
          <w:color w:val="222222"/>
          <w:sz w:val="24"/>
          <w:szCs w:val="24"/>
          <w:highlight w:val="white"/>
        </w:rPr>
        <w:t xml:space="preserve"> </w:t>
      </w:r>
    </w:p>
    <w:p w14:paraId="696DF4C4"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Woodward, P. (2020). Higher education and social inclusion: Continuing inequalities in access to higher education in England. In R. Papa (Ed.), </w:t>
      </w:r>
      <w:r>
        <w:rPr>
          <w:rFonts w:ascii="Times New Roman" w:eastAsia="Times New Roman" w:hAnsi="Times New Roman" w:cs="Times New Roman"/>
          <w:i/>
          <w:iCs/>
          <w:color w:val="222222"/>
          <w:sz w:val="24"/>
          <w:szCs w:val="24"/>
          <w:highlight w:val="white"/>
        </w:rPr>
        <w:t>Handbook on promoting social justice in education</w:t>
      </w:r>
      <w:r>
        <w:rPr>
          <w:rFonts w:ascii="Times New Roman" w:eastAsia="Times New Roman" w:hAnsi="Times New Roman" w:cs="Times New Roman"/>
          <w:color w:val="222222"/>
          <w:sz w:val="24"/>
          <w:szCs w:val="24"/>
          <w:highlight w:val="white"/>
        </w:rPr>
        <w:t xml:space="preserve"> (pp. 1229–1251). Springer International Publishing. </w:t>
      </w:r>
    </w:p>
    <w:p w14:paraId="3A54037B"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The World Bank. (2023). </w:t>
      </w:r>
      <w:r>
        <w:rPr>
          <w:rFonts w:ascii="Times New Roman" w:eastAsia="Times New Roman" w:hAnsi="Times New Roman" w:cs="Times New Roman"/>
          <w:i/>
          <w:iCs/>
          <w:color w:val="222222"/>
          <w:sz w:val="24"/>
          <w:szCs w:val="24"/>
          <w:highlight w:val="white"/>
        </w:rPr>
        <w:t xml:space="preserve">Kazakhstan: Strengthening public finance for inclusive and resilient growth. </w:t>
      </w:r>
      <w:hyperlink r:id="rId57">
        <w:r>
          <w:rPr>
            <w:rFonts w:ascii="Times New Roman" w:eastAsia="Times New Roman" w:hAnsi="Times New Roman" w:cs="Times New Roman"/>
            <w:color w:val="1155CC"/>
            <w:sz w:val="24"/>
            <w:szCs w:val="24"/>
            <w:highlight w:val="white"/>
            <w:u w:val="single"/>
          </w:rPr>
          <w:t>https://documents1.worldbank.org/curated/en/099057102282440191/pdf/IDU18abfcc0a1106d14eee1ace011ff55c80e795.pdf</w:t>
        </w:r>
      </w:hyperlink>
      <w:r>
        <w:rPr>
          <w:rFonts w:ascii="Times New Roman" w:eastAsia="Times New Roman" w:hAnsi="Times New Roman" w:cs="Times New Roman"/>
          <w:color w:val="222222"/>
          <w:sz w:val="24"/>
          <w:szCs w:val="24"/>
          <w:highlight w:val="white"/>
        </w:rPr>
        <w:t xml:space="preserve">  </w:t>
      </w:r>
    </w:p>
    <w:p w14:paraId="44165E53"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Yakavets</w:t>
      </w:r>
      <w:proofErr w:type="spellEnd"/>
      <w:r>
        <w:rPr>
          <w:rFonts w:ascii="Times New Roman" w:eastAsia="Times New Roman" w:hAnsi="Times New Roman" w:cs="Times New Roman"/>
          <w:color w:val="222222"/>
          <w:sz w:val="24"/>
          <w:szCs w:val="24"/>
          <w:highlight w:val="white"/>
        </w:rPr>
        <w:t xml:space="preserve">, N. (2014). Reforming society through education for gifted children: The case of Kazakhstan. </w:t>
      </w:r>
      <w:r>
        <w:rPr>
          <w:rFonts w:ascii="Times New Roman" w:eastAsia="Times New Roman" w:hAnsi="Times New Roman" w:cs="Times New Roman"/>
          <w:i/>
          <w:iCs/>
          <w:color w:val="222222"/>
          <w:sz w:val="24"/>
          <w:szCs w:val="24"/>
          <w:highlight w:val="white"/>
        </w:rPr>
        <w:t>Research Papers in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29</w:t>
      </w:r>
      <w:r>
        <w:rPr>
          <w:rFonts w:ascii="Times New Roman" w:eastAsia="Times New Roman" w:hAnsi="Times New Roman" w:cs="Times New Roman"/>
          <w:color w:val="222222"/>
          <w:sz w:val="24"/>
          <w:szCs w:val="24"/>
          <w:highlight w:val="white"/>
        </w:rPr>
        <w:t xml:space="preserve">(5), 513–533. </w:t>
      </w:r>
      <w:hyperlink r:id="rId58">
        <w:r>
          <w:rPr>
            <w:rFonts w:ascii="Times New Roman" w:eastAsia="Times New Roman" w:hAnsi="Times New Roman" w:cs="Times New Roman"/>
            <w:color w:val="0000FF"/>
            <w:sz w:val="24"/>
            <w:szCs w:val="24"/>
            <w:highlight w:val="white"/>
            <w:u w:val="single"/>
          </w:rPr>
          <w:t>https://doi.org/10.1080/02671522.2013.825311</w:t>
        </w:r>
      </w:hyperlink>
      <w:r>
        <w:rPr>
          <w:rFonts w:ascii="Times New Roman" w:eastAsia="Times New Roman" w:hAnsi="Times New Roman" w:cs="Times New Roman"/>
          <w:color w:val="222222"/>
          <w:sz w:val="24"/>
          <w:szCs w:val="24"/>
          <w:highlight w:val="white"/>
        </w:rPr>
        <w:t xml:space="preserve"> </w:t>
      </w:r>
    </w:p>
    <w:p w14:paraId="292D6B6C" w14:textId="77777777" w:rsidR="004C7857" w:rsidRDefault="00000000">
      <w:pPr>
        <w:spacing w:line="24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Zhussipbek</w:t>
      </w:r>
      <w:proofErr w:type="spellEnd"/>
      <w:r>
        <w:rPr>
          <w:rFonts w:ascii="Times New Roman" w:eastAsia="Times New Roman" w:hAnsi="Times New Roman" w:cs="Times New Roman"/>
          <w:color w:val="222222"/>
          <w:sz w:val="24"/>
          <w:szCs w:val="24"/>
          <w:highlight w:val="white"/>
        </w:rPr>
        <w:t xml:space="preserve">, T. (2019). </w:t>
      </w:r>
      <w:r>
        <w:rPr>
          <w:rFonts w:ascii="Times New Roman" w:eastAsia="Times New Roman" w:hAnsi="Times New Roman" w:cs="Times New Roman"/>
          <w:i/>
          <w:iCs/>
          <w:color w:val="222222"/>
          <w:sz w:val="24"/>
          <w:szCs w:val="24"/>
          <w:highlight w:val="white"/>
        </w:rPr>
        <w:t>Students’ and teachers’ experiences and perceptions of studying in BILs</w:t>
      </w:r>
      <w:r>
        <w:rPr>
          <w:rFonts w:ascii="Times New Roman" w:eastAsia="Times New Roman" w:hAnsi="Times New Roman" w:cs="Times New Roman"/>
          <w:color w:val="222222"/>
          <w:sz w:val="24"/>
          <w:szCs w:val="24"/>
          <w:highlight w:val="white"/>
        </w:rPr>
        <w:t xml:space="preserve"> [Doctoral thesis, The University of Sheffield]. White Rose </w:t>
      </w:r>
      <w:proofErr w:type="spellStart"/>
      <w:r>
        <w:rPr>
          <w:rFonts w:ascii="Times New Roman" w:eastAsia="Times New Roman" w:hAnsi="Times New Roman" w:cs="Times New Roman"/>
          <w:color w:val="222222"/>
          <w:sz w:val="24"/>
          <w:szCs w:val="24"/>
          <w:highlight w:val="white"/>
        </w:rPr>
        <w:t>eTheses</w:t>
      </w:r>
      <w:proofErr w:type="spellEnd"/>
      <w:r>
        <w:rPr>
          <w:rFonts w:ascii="Times New Roman" w:eastAsia="Times New Roman" w:hAnsi="Times New Roman" w:cs="Times New Roman"/>
          <w:color w:val="222222"/>
          <w:sz w:val="24"/>
          <w:szCs w:val="24"/>
          <w:highlight w:val="white"/>
        </w:rPr>
        <w:t xml:space="preserve"> Online. </w:t>
      </w:r>
      <w:hyperlink r:id="rId59">
        <w:r>
          <w:rPr>
            <w:rFonts w:ascii="Times New Roman" w:eastAsia="Times New Roman" w:hAnsi="Times New Roman" w:cs="Times New Roman"/>
            <w:color w:val="1155CC"/>
            <w:sz w:val="24"/>
            <w:szCs w:val="24"/>
            <w:highlight w:val="white"/>
            <w:u w:val="single"/>
          </w:rPr>
          <w:t>https://etheses.whiterose.ac.uk/id/eprint/23618/1/Students%27%20and%20teachers%27%20experiences%20and%20perceptions%20of%20studying%20in%20BILs_Final.pdf</w:t>
        </w:r>
      </w:hyperlink>
      <w:r>
        <w:rPr>
          <w:rFonts w:ascii="Times New Roman" w:eastAsia="Times New Roman" w:hAnsi="Times New Roman" w:cs="Times New Roman"/>
          <w:color w:val="222222"/>
          <w:sz w:val="24"/>
          <w:szCs w:val="24"/>
          <w:highlight w:val="white"/>
        </w:rPr>
        <w:t xml:space="preserve"> </w:t>
      </w:r>
    </w:p>
    <w:p w14:paraId="4E7EDCD5" w14:textId="77777777" w:rsidR="004C7857" w:rsidRDefault="004C7857">
      <w:pPr>
        <w:spacing w:line="240" w:lineRule="auto"/>
        <w:rPr>
          <w:rFonts w:ascii="Times New Roman" w:eastAsia="Times New Roman" w:hAnsi="Times New Roman" w:cs="Times New Roman"/>
          <w:color w:val="222222"/>
          <w:sz w:val="24"/>
          <w:szCs w:val="24"/>
          <w:highlight w:val="white"/>
        </w:rPr>
      </w:pPr>
    </w:p>
    <w:p w14:paraId="73EAC5F8" w14:textId="77777777" w:rsidR="004C7857" w:rsidRDefault="00000000">
      <w:pPr>
        <w:spacing w:line="240" w:lineRule="auto"/>
        <w:rPr>
          <w:rFonts w:ascii="Times New Roman" w:eastAsia="Times New Roman" w:hAnsi="Times New Roman" w:cs="Times New Roman"/>
          <w:sz w:val="24"/>
          <w:szCs w:val="24"/>
        </w:rPr>
      </w:pPr>
      <w:r>
        <w:br w:type="page"/>
      </w:r>
    </w:p>
    <w:p w14:paraId="10B9BF32"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Tables and Figures</w:t>
      </w:r>
    </w:p>
    <w:tbl>
      <w:tblPr>
        <w:tblStyle w:val="a"/>
        <w:tblW w:w="9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84"/>
        <w:gridCol w:w="1524"/>
        <w:gridCol w:w="1181"/>
        <w:gridCol w:w="140"/>
      </w:tblGrid>
      <w:tr w:rsidR="004C7857" w14:paraId="0DC9DB23" w14:textId="77777777">
        <w:trPr>
          <w:trHeight w:val="280"/>
        </w:trPr>
        <w:tc>
          <w:tcPr>
            <w:tcW w:w="8925" w:type="dxa"/>
            <w:gridSpan w:val="3"/>
            <w:tcBorders>
              <w:top w:val="nil"/>
              <w:left w:val="nil"/>
              <w:bottom w:val="single" w:sz="4" w:space="0" w:color="000000"/>
              <w:right w:val="nil"/>
            </w:tcBorders>
            <w:tcMar>
              <w:top w:w="30" w:type="dxa"/>
              <w:left w:w="60" w:type="dxa"/>
              <w:bottom w:w="30" w:type="dxa"/>
              <w:right w:w="60" w:type="dxa"/>
            </w:tcMar>
          </w:tcPr>
          <w:p w14:paraId="40E89DA2" w14:textId="77777777" w:rsidR="004C7857"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1</w:t>
            </w:r>
          </w:p>
          <w:p w14:paraId="36F419BB" w14:textId="77777777" w:rsidR="004C7857" w:rsidRDefault="00000000">
            <w:pPr>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i/>
                <w:iCs/>
                <w:sz w:val="24"/>
                <w:szCs w:val="24"/>
              </w:rPr>
              <w:t>Descriptive statistics (</w:t>
            </w:r>
            <w:r>
              <w:rPr>
                <w:rFonts w:ascii="Times New Roman" w:eastAsia="Times New Roman" w:hAnsi="Times New Roman" w:cs="Times New Roman"/>
                <w:sz w:val="24"/>
                <w:szCs w:val="24"/>
              </w:rPr>
              <w:t>N</w:t>
            </w:r>
            <w:r>
              <w:rPr>
                <w:rFonts w:ascii="Times New Roman" w:eastAsia="Times New Roman" w:hAnsi="Times New Roman" w:cs="Times New Roman"/>
                <w:i/>
                <w:iCs/>
                <w:sz w:val="24"/>
                <w:szCs w:val="24"/>
              </w:rPr>
              <w:t xml:space="preserve"> = 499,150)</w:t>
            </w:r>
          </w:p>
        </w:tc>
        <w:tc>
          <w:tcPr>
            <w:tcW w:w="104" w:type="dxa"/>
            <w:tcBorders>
              <w:top w:val="nil"/>
              <w:left w:val="nil"/>
              <w:bottom w:val="single" w:sz="4" w:space="0" w:color="000000"/>
              <w:right w:val="nil"/>
            </w:tcBorders>
            <w:tcMar>
              <w:top w:w="30" w:type="dxa"/>
              <w:left w:w="60" w:type="dxa"/>
              <w:bottom w:w="30" w:type="dxa"/>
              <w:right w:w="60" w:type="dxa"/>
            </w:tcMar>
          </w:tcPr>
          <w:p w14:paraId="4D8BF885" w14:textId="77777777" w:rsidR="004C7857" w:rsidRDefault="004C7857">
            <w:pPr>
              <w:widowControl w:val="0"/>
              <w:pBdr>
                <w:top w:val="nil"/>
                <w:left w:val="nil"/>
                <w:bottom w:val="nil"/>
                <w:right w:val="nil"/>
                <w:between w:val="nil"/>
              </w:pBdr>
              <w:rPr>
                <w:rFonts w:ascii="Times New Roman" w:eastAsia="Times New Roman" w:hAnsi="Times New Roman" w:cs="Times New Roman"/>
                <w:b/>
                <w:bCs/>
                <w:sz w:val="24"/>
                <w:szCs w:val="24"/>
              </w:rPr>
            </w:pPr>
          </w:p>
        </w:tc>
      </w:tr>
      <w:tr w:rsidR="004C7857" w14:paraId="724A574D" w14:textId="77777777">
        <w:tc>
          <w:tcPr>
            <w:tcW w:w="6210" w:type="dxa"/>
            <w:tcBorders>
              <w:top w:val="single" w:sz="8" w:space="0" w:color="000000"/>
              <w:left w:val="nil"/>
              <w:bottom w:val="single" w:sz="4" w:space="0" w:color="000000"/>
              <w:right w:val="nil"/>
            </w:tcBorders>
            <w:tcMar>
              <w:top w:w="30" w:type="dxa"/>
              <w:left w:w="60" w:type="dxa"/>
              <w:bottom w:w="30" w:type="dxa"/>
              <w:right w:w="60" w:type="dxa"/>
            </w:tcMar>
          </w:tcPr>
          <w:p w14:paraId="13E898DF"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1530" w:type="dxa"/>
            <w:tcBorders>
              <w:top w:val="single" w:sz="8" w:space="0" w:color="000000"/>
              <w:left w:val="nil"/>
              <w:bottom w:val="single" w:sz="4" w:space="0" w:color="000000"/>
              <w:right w:val="nil"/>
            </w:tcBorders>
            <w:tcMar>
              <w:top w:w="30" w:type="dxa"/>
              <w:left w:w="60" w:type="dxa"/>
              <w:bottom w:w="30" w:type="dxa"/>
              <w:right w:w="60" w:type="dxa"/>
            </w:tcMar>
          </w:tcPr>
          <w:p w14:paraId="5D3D5D9B"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185" w:type="dxa"/>
            <w:tcBorders>
              <w:top w:val="single" w:sz="8" w:space="0" w:color="000000"/>
              <w:left w:val="nil"/>
              <w:bottom w:val="single" w:sz="4" w:space="0" w:color="000000"/>
              <w:right w:val="nil"/>
            </w:tcBorders>
            <w:tcMar>
              <w:top w:w="30" w:type="dxa"/>
              <w:left w:w="60" w:type="dxa"/>
              <w:bottom w:w="30" w:type="dxa"/>
              <w:right w:w="60" w:type="dxa"/>
            </w:tcMar>
          </w:tcPr>
          <w:p w14:paraId="163CDECD"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(SD)</w:t>
            </w:r>
          </w:p>
        </w:tc>
        <w:tc>
          <w:tcPr>
            <w:tcW w:w="104" w:type="dxa"/>
            <w:tcBorders>
              <w:top w:val="single" w:sz="8" w:space="0" w:color="000000"/>
              <w:left w:val="nil"/>
              <w:bottom w:val="single" w:sz="4" w:space="0" w:color="000000"/>
              <w:right w:val="nil"/>
            </w:tcBorders>
            <w:tcMar>
              <w:top w:w="30" w:type="dxa"/>
              <w:left w:w="60" w:type="dxa"/>
              <w:bottom w:w="30" w:type="dxa"/>
              <w:right w:w="60" w:type="dxa"/>
            </w:tcMar>
          </w:tcPr>
          <w:p w14:paraId="383C09A2" w14:textId="77777777" w:rsidR="004C7857" w:rsidRDefault="004C7857">
            <w:pPr>
              <w:spacing w:line="240" w:lineRule="auto"/>
              <w:jc w:val="center"/>
              <w:rPr>
                <w:rFonts w:ascii="Times New Roman" w:eastAsia="Times New Roman" w:hAnsi="Times New Roman" w:cs="Times New Roman"/>
                <w:sz w:val="24"/>
                <w:szCs w:val="24"/>
              </w:rPr>
            </w:pPr>
          </w:p>
        </w:tc>
      </w:tr>
      <w:tr w:rsidR="004C7857" w14:paraId="181E883D" w14:textId="77777777">
        <w:tc>
          <w:tcPr>
            <w:tcW w:w="6210" w:type="dxa"/>
            <w:tcBorders>
              <w:top w:val="nil"/>
              <w:left w:val="nil"/>
              <w:bottom w:val="nil"/>
              <w:right w:val="nil"/>
            </w:tcBorders>
            <w:tcMar>
              <w:top w:w="30" w:type="dxa"/>
              <w:left w:w="60" w:type="dxa"/>
              <w:bottom w:w="30" w:type="dxa"/>
              <w:right w:w="60" w:type="dxa"/>
            </w:tcMar>
          </w:tcPr>
          <w:p w14:paraId="290421CE"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Enrolled in NU</w:t>
            </w:r>
          </w:p>
        </w:tc>
        <w:tc>
          <w:tcPr>
            <w:tcW w:w="1530" w:type="dxa"/>
            <w:tcBorders>
              <w:top w:val="nil"/>
              <w:left w:val="nil"/>
              <w:bottom w:val="nil"/>
              <w:right w:val="nil"/>
            </w:tcBorders>
            <w:tcMar>
              <w:top w:w="30" w:type="dxa"/>
              <w:left w:w="60" w:type="dxa"/>
              <w:bottom w:w="30" w:type="dxa"/>
              <w:right w:w="60" w:type="dxa"/>
            </w:tcMar>
          </w:tcPr>
          <w:p w14:paraId="1E91A6F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185" w:type="dxa"/>
            <w:tcBorders>
              <w:top w:val="nil"/>
              <w:left w:val="nil"/>
              <w:bottom w:val="nil"/>
              <w:right w:val="nil"/>
            </w:tcBorders>
            <w:tcMar>
              <w:top w:w="30" w:type="dxa"/>
              <w:left w:w="60" w:type="dxa"/>
              <w:bottom w:w="30" w:type="dxa"/>
              <w:right w:w="60" w:type="dxa"/>
            </w:tcMar>
          </w:tcPr>
          <w:p w14:paraId="54C018D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(0.08)</w:t>
            </w:r>
          </w:p>
        </w:tc>
        <w:tc>
          <w:tcPr>
            <w:tcW w:w="104" w:type="dxa"/>
            <w:tcBorders>
              <w:top w:val="nil"/>
              <w:left w:val="nil"/>
              <w:bottom w:val="nil"/>
              <w:right w:val="nil"/>
            </w:tcBorders>
            <w:tcMar>
              <w:top w:w="30" w:type="dxa"/>
              <w:left w:w="60" w:type="dxa"/>
              <w:bottom w:w="30" w:type="dxa"/>
              <w:right w:w="60" w:type="dxa"/>
            </w:tcMar>
          </w:tcPr>
          <w:p w14:paraId="6886D822" w14:textId="77777777" w:rsidR="004C7857" w:rsidRDefault="004C7857">
            <w:pPr>
              <w:spacing w:line="240" w:lineRule="auto"/>
              <w:jc w:val="center"/>
              <w:rPr>
                <w:rFonts w:ascii="Times New Roman" w:eastAsia="Times New Roman" w:hAnsi="Times New Roman" w:cs="Times New Roman"/>
              </w:rPr>
            </w:pPr>
          </w:p>
        </w:tc>
      </w:tr>
      <w:tr w:rsidR="004C7857" w14:paraId="0DFD0DDB" w14:textId="77777777">
        <w:tc>
          <w:tcPr>
            <w:tcW w:w="6210" w:type="dxa"/>
            <w:tcBorders>
              <w:top w:val="nil"/>
              <w:left w:val="nil"/>
              <w:bottom w:val="nil"/>
              <w:right w:val="nil"/>
            </w:tcBorders>
            <w:tcMar>
              <w:top w:w="30" w:type="dxa"/>
              <w:left w:w="60" w:type="dxa"/>
              <w:bottom w:w="30" w:type="dxa"/>
              <w:right w:w="60" w:type="dxa"/>
            </w:tcMar>
          </w:tcPr>
          <w:p w14:paraId="665D579C"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School type:</w:t>
            </w:r>
          </w:p>
        </w:tc>
        <w:tc>
          <w:tcPr>
            <w:tcW w:w="1530" w:type="dxa"/>
            <w:tcBorders>
              <w:top w:val="nil"/>
              <w:left w:val="nil"/>
              <w:bottom w:val="nil"/>
              <w:right w:val="nil"/>
            </w:tcBorders>
            <w:tcMar>
              <w:top w:w="30" w:type="dxa"/>
              <w:left w:w="60" w:type="dxa"/>
              <w:bottom w:w="30" w:type="dxa"/>
              <w:right w:w="60" w:type="dxa"/>
            </w:tcMar>
          </w:tcPr>
          <w:p w14:paraId="25F6F881" w14:textId="77777777" w:rsidR="004C7857" w:rsidRDefault="004C7857">
            <w:pPr>
              <w:spacing w:line="240" w:lineRule="auto"/>
              <w:jc w:val="center"/>
              <w:rPr>
                <w:rFonts w:ascii="Times New Roman" w:eastAsia="Times New Roman" w:hAnsi="Times New Roman" w:cs="Times New Roman"/>
              </w:rPr>
            </w:pPr>
          </w:p>
        </w:tc>
        <w:tc>
          <w:tcPr>
            <w:tcW w:w="1185" w:type="dxa"/>
            <w:tcBorders>
              <w:top w:val="nil"/>
              <w:left w:val="nil"/>
              <w:bottom w:val="nil"/>
              <w:right w:val="nil"/>
            </w:tcBorders>
            <w:tcMar>
              <w:top w:w="30" w:type="dxa"/>
              <w:left w:w="60" w:type="dxa"/>
              <w:bottom w:w="30" w:type="dxa"/>
              <w:right w:w="60" w:type="dxa"/>
            </w:tcMar>
          </w:tcPr>
          <w:p w14:paraId="0EA837DF" w14:textId="77777777" w:rsidR="004C7857" w:rsidRDefault="004C7857">
            <w:pPr>
              <w:spacing w:line="240" w:lineRule="auto"/>
              <w:jc w:val="center"/>
              <w:rPr>
                <w:rFonts w:ascii="Times New Roman" w:eastAsia="Times New Roman" w:hAnsi="Times New Roman" w:cs="Times New Roman"/>
              </w:rPr>
            </w:pPr>
          </w:p>
        </w:tc>
        <w:tc>
          <w:tcPr>
            <w:tcW w:w="104" w:type="dxa"/>
            <w:tcBorders>
              <w:top w:val="nil"/>
              <w:left w:val="nil"/>
              <w:bottom w:val="nil"/>
              <w:right w:val="nil"/>
            </w:tcBorders>
            <w:tcMar>
              <w:top w:w="30" w:type="dxa"/>
              <w:left w:w="60" w:type="dxa"/>
              <w:bottom w:w="30" w:type="dxa"/>
              <w:right w:w="60" w:type="dxa"/>
            </w:tcMar>
          </w:tcPr>
          <w:p w14:paraId="667412AB" w14:textId="77777777" w:rsidR="004C7857" w:rsidRDefault="004C7857">
            <w:pPr>
              <w:spacing w:line="240" w:lineRule="auto"/>
              <w:jc w:val="center"/>
              <w:rPr>
                <w:rFonts w:ascii="Times New Roman" w:eastAsia="Times New Roman" w:hAnsi="Times New Roman" w:cs="Times New Roman"/>
              </w:rPr>
            </w:pPr>
          </w:p>
        </w:tc>
      </w:tr>
      <w:tr w:rsidR="004C7857" w14:paraId="1B6FC766" w14:textId="77777777">
        <w:tc>
          <w:tcPr>
            <w:tcW w:w="6210" w:type="dxa"/>
            <w:tcBorders>
              <w:top w:val="nil"/>
              <w:left w:val="nil"/>
              <w:bottom w:val="nil"/>
              <w:right w:val="nil"/>
            </w:tcBorders>
            <w:tcMar>
              <w:top w:w="30" w:type="dxa"/>
              <w:left w:w="60" w:type="dxa"/>
              <w:bottom w:w="30" w:type="dxa"/>
              <w:right w:w="60" w:type="dxa"/>
            </w:tcMar>
          </w:tcPr>
          <w:p w14:paraId="400934F8"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Urban public school</w:t>
            </w:r>
          </w:p>
        </w:tc>
        <w:tc>
          <w:tcPr>
            <w:tcW w:w="1530" w:type="dxa"/>
            <w:tcBorders>
              <w:top w:val="nil"/>
              <w:left w:val="nil"/>
              <w:bottom w:val="nil"/>
              <w:right w:val="nil"/>
            </w:tcBorders>
            <w:tcMar>
              <w:top w:w="30" w:type="dxa"/>
              <w:left w:w="60" w:type="dxa"/>
              <w:bottom w:w="30" w:type="dxa"/>
              <w:right w:w="60" w:type="dxa"/>
            </w:tcMar>
          </w:tcPr>
          <w:p w14:paraId="3C41E09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0.43</w:t>
            </w:r>
          </w:p>
        </w:tc>
        <w:tc>
          <w:tcPr>
            <w:tcW w:w="1185" w:type="dxa"/>
            <w:tcBorders>
              <w:top w:val="nil"/>
              <w:left w:val="nil"/>
              <w:bottom w:val="nil"/>
              <w:right w:val="nil"/>
            </w:tcBorders>
            <w:tcMar>
              <w:top w:w="30" w:type="dxa"/>
              <w:left w:w="60" w:type="dxa"/>
              <w:bottom w:w="30" w:type="dxa"/>
              <w:right w:w="60" w:type="dxa"/>
            </w:tcMar>
          </w:tcPr>
          <w:p w14:paraId="4651DA2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(0.49)</w:t>
            </w:r>
          </w:p>
        </w:tc>
        <w:tc>
          <w:tcPr>
            <w:tcW w:w="104" w:type="dxa"/>
            <w:tcBorders>
              <w:top w:val="nil"/>
              <w:left w:val="nil"/>
              <w:bottom w:val="nil"/>
              <w:right w:val="nil"/>
            </w:tcBorders>
            <w:tcMar>
              <w:top w:w="30" w:type="dxa"/>
              <w:left w:w="60" w:type="dxa"/>
              <w:bottom w:w="30" w:type="dxa"/>
              <w:right w:w="60" w:type="dxa"/>
            </w:tcMar>
          </w:tcPr>
          <w:p w14:paraId="4D2B913E" w14:textId="77777777" w:rsidR="004C7857" w:rsidRDefault="004C7857">
            <w:pPr>
              <w:spacing w:line="240" w:lineRule="auto"/>
              <w:jc w:val="center"/>
              <w:rPr>
                <w:rFonts w:ascii="Times New Roman" w:eastAsia="Times New Roman" w:hAnsi="Times New Roman" w:cs="Times New Roman"/>
              </w:rPr>
            </w:pPr>
          </w:p>
        </w:tc>
      </w:tr>
      <w:tr w:rsidR="004C7857" w14:paraId="2EB651B2" w14:textId="77777777">
        <w:tc>
          <w:tcPr>
            <w:tcW w:w="6210" w:type="dxa"/>
            <w:tcBorders>
              <w:top w:val="nil"/>
              <w:left w:val="nil"/>
              <w:bottom w:val="nil"/>
              <w:right w:val="nil"/>
            </w:tcBorders>
            <w:tcMar>
              <w:top w:w="30" w:type="dxa"/>
              <w:left w:w="60" w:type="dxa"/>
              <w:bottom w:w="30" w:type="dxa"/>
              <w:right w:w="60" w:type="dxa"/>
            </w:tcMar>
          </w:tcPr>
          <w:p w14:paraId="2A415FA9"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Rural public school</w:t>
            </w:r>
          </w:p>
        </w:tc>
        <w:tc>
          <w:tcPr>
            <w:tcW w:w="1530" w:type="dxa"/>
            <w:tcBorders>
              <w:top w:val="nil"/>
              <w:left w:val="nil"/>
              <w:bottom w:val="nil"/>
              <w:right w:val="nil"/>
            </w:tcBorders>
            <w:tcMar>
              <w:top w:w="30" w:type="dxa"/>
              <w:left w:w="60" w:type="dxa"/>
              <w:bottom w:w="30" w:type="dxa"/>
              <w:right w:w="60" w:type="dxa"/>
            </w:tcMar>
          </w:tcPr>
          <w:p w14:paraId="28FF9470"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0.39</w:t>
            </w:r>
          </w:p>
        </w:tc>
        <w:tc>
          <w:tcPr>
            <w:tcW w:w="1185" w:type="dxa"/>
            <w:tcBorders>
              <w:top w:val="nil"/>
              <w:left w:val="nil"/>
              <w:bottom w:val="nil"/>
              <w:right w:val="nil"/>
            </w:tcBorders>
            <w:tcMar>
              <w:top w:w="30" w:type="dxa"/>
              <w:left w:w="60" w:type="dxa"/>
              <w:bottom w:w="30" w:type="dxa"/>
              <w:right w:w="60" w:type="dxa"/>
            </w:tcMar>
          </w:tcPr>
          <w:p w14:paraId="6FEE4F72"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(0.49)</w:t>
            </w:r>
          </w:p>
        </w:tc>
        <w:tc>
          <w:tcPr>
            <w:tcW w:w="104" w:type="dxa"/>
            <w:tcBorders>
              <w:top w:val="nil"/>
              <w:left w:val="nil"/>
              <w:bottom w:val="nil"/>
              <w:right w:val="nil"/>
            </w:tcBorders>
            <w:tcMar>
              <w:top w:w="30" w:type="dxa"/>
              <w:left w:w="60" w:type="dxa"/>
              <w:bottom w:w="30" w:type="dxa"/>
              <w:right w:w="60" w:type="dxa"/>
            </w:tcMar>
          </w:tcPr>
          <w:p w14:paraId="246AC28D" w14:textId="77777777" w:rsidR="004C7857" w:rsidRDefault="004C7857">
            <w:pPr>
              <w:spacing w:line="240" w:lineRule="auto"/>
              <w:jc w:val="center"/>
              <w:rPr>
                <w:rFonts w:ascii="Times New Roman" w:eastAsia="Times New Roman" w:hAnsi="Times New Roman" w:cs="Times New Roman"/>
              </w:rPr>
            </w:pPr>
          </w:p>
        </w:tc>
      </w:tr>
      <w:tr w:rsidR="004C7857" w14:paraId="3E92B90D" w14:textId="77777777">
        <w:tc>
          <w:tcPr>
            <w:tcW w:w="6210" w:type="dxa"/>
            <w:tcBorders>
              <w:top w:val="nil"/>
              <w:left w:val="nil"/>
              <w:bottom w:val="nil"/>
              <w:right w:val="nil"/>
            </w:tcBorders>
            <w:tcMar>
              <w:top w:w="30" w:type="dxa"/>
              <w:left w:w="60" w:type="dxa"/>
              <w:bottom w:w="30" w:type="dxa"/>
              <w:right w:w="60" w:type="dxa"/>
            </w:tcMar>
          </w:tcPr>
          <w:p w14:paraId="2368F587"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Multigrade</w:t>
            </w:r>
          </w:p>
        </w:tc>
        <w:tc>
          <w:tcPr>
            <w:tcW w:w="1530" w:type="dxa"/>
            <w:tcBorders>
              <w:top w:val="nil"/>
              <w:left w:val="nil"/>
              <w:bottom w:val="nil"/>
              <w:right w:val="nil"/>
            </w:tcBorders>
            <w:tcMar>
              <w:top w:w="30" w:type="dxa"/>
              <w:left w:w="60" w:type="dxa"/>
              <w:bottom w:w="30" w:type="dxa"/>
              <w:right w:w="60" w:type="dxa"/>
            </w:tcMar>
          </w:tcPr>
          <w:p w14:paraId="0CA00A0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185" w:type="dxa"/>
            <w:tcBorders>
              <w:top w:val="nil"/>
              <w:left w:val="nil"/>
              <w:bottom w:val="nil"/>
              <w:right w:val="nil"/>
            </w:tcBorders>
            <w:tcMar>
              <w:top w:w="30" w:type="dxa"/>
              <w:left w:w="60" w:type="dxa"/>
              <w:bottom w:w="30" w:type="dxa"/>
              <w:right w:w="60" w:type="dxa"/>
            </w:tcMar>
          </w:tcPr>
          <w:p w14:paraId="72AE253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104" w:type="dxa"/>
            <w:tcBorders>
              <w:top w:val="nil"/>
              <w:left w:val="nil"/>
              <w:bottom w:val="nil"/>
              <w:right w:val="nil"/>
            </w:tcBorders>
            <w:tcMar>
              <w:top w:w="30" w:type="dxa"/>
              <w:left w:w="60" w:type="dxa"/>
              <w:bottom w:w="30" w:type="dxa"/>
              <w:right w:w="60" w:type="dxa"/>
            </w:tcMar>
          </w:tcPr>
          <w:p w14:paraId="1DD63A99" w14:textId="77777777" w:rsidR="004C7857" w:rsidRDefault="004C7857">
            <w:pPr>
              <w:spacing w:line="240" w:lineRule="auto"/>
              <w:jc w:val="center"/>
              <w:rPr>
                <w:rFonts w:ascii="Times New Roman" w:eastAsia="Times New Roman" w:hAnsi="Times New Roman" w:cs="Times New Roman"/>
              </w:rPr>
            </w:pPr>
          </w:p>
        </w:tc>
      </w:tr>
      <w:tr w:rsidR="004C7857" w14:paraId="29D1A67C" w14:textId="77777777">
        <w:tc>
          <w:tcPr>
            <w:tcW w:w="6210" w:type="dxa"/>
            <w:tcBorders>
              <w:top w:val="nil"/>
              <w:left w:val="nil"/>
              <w:bottom w:val="nil"/>
              <w:right w:val="nil"/>
            </w:tcBorders>
            <w:tcMar>
              <w:top w:w="30" w:type="dxa"/>
              <w:left w:w="60" w:type="dxa"/>
              <w:bottom w:w="30" w:type="dxa"/>
              <w:right w:w="60" w:type="dxa"/>
            </w:tcMar>
          </w:tcPr>
          <w:p w14:paraId="1DD20DC7"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Gymnasium / lyceum</w:t>
            </w:r>
          </w:p>
        </w:tc>
        <w:tc>
          <w:tcPr>
            <w:tcW w:w="1530" w:type="dxa"/>
            <w:tcBorders>
              <w:top w:val="nil"/>
              <w:left w:val="nil"/>
              <w:bottom w:val="nil"/>
              <w:right w:val="nil"/>
            </w:tcBorders>
            <w:tcMar>
              <w:top w:w="30" w:type="dxa"/>
              <w:left w:w="60" w:type="dxa"/>
              <w:bottom w:w="30" w:type="dxa"/>
              <w:right w:w="60" w:type="dxa"/>
            </w:tcMar>
          </w:tcPr>
          <w:p w14:paraId="1E674DE8"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185" w:type="dxa"/>
            <w:tcBorders>
              <w:top w:val="nil"/>
              <w:left w:val="nil"/>
              <w:bottom w:val="nil"/>
              <w:right w:val="nil"/>
            </w:tcBorders>
            <w:tcMar>
              <w:top w:w="30" w:type="dxa"/>
              <w:left w:w="60" w:type="dxa"/>
              <w:bottom w:w="30" w:type="dxa"/>
              <w:right w:w="60" w:type="dxa"/>
            </w:tcMar>
          </w:tcPr>
          <w:p w14:paraId="7C24831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104" w:type="dxa"/>
            <w:tcBorders>
              <w:top w:val="nil"/>
              <w:left w:val="nil"/>
              <w:bottom w:val="nil"/>
              <w:right w:val="nil"/>
            </w:tcBorders>
            <w:tcMar>
              <w:top w:w="30" w:type="dxa"/>
              <w:left w:w="60" w:type="dxa"/>
              <w:bottom w:w="30" w:type="dxa"/>
              <w:right w:w="60" w:type="dxa"/>
            </w:tcMar>
          </w:tcPr>
          <w:p w14:paraId="1FC6D477" w14:textId="77777777" w:rsidR="004C7857" w:rsidRDefault="004C7857">
            <w:pPr>
              <w:spacing w:line="240" w:lineRule="auto"/>
              <w:jc w:val="center"/>
              <w:rPr>
                <w:rFonts w:ascii="Times New Roman" w:eastAsia="Times New Roman" w:hAnsi="Times New Roman" w:cs="Times New Roman"/>
              </w:rPr>
            </w:pPr>
          </w:p>
        </w:tc>
      </w:tr>
      <w:tr w:rsidR="004C7857" w14:paraId="47667647" w14:textId="77777777">
        <w:tc>
          <w:tcPr>
            <w:tcW w:w="6210" w:type="dxa"/>
            <w:tcBorders>
              <w:top w:val="nil"/>
              <w:left w:val="nil"/>
              <w:bottom w:val="nil"/>
              <w:right w:val="nil"/>
            </w:tcBorders>
            <w:tcMar>
              <w:top w:w="30" w:type="dxa"/>
              <w:left w:w="60" w:type="dxa"/>
              <w:bottom w:w="30" w:type="dxa"/>
              <w:right w:w="60" w:type="dxa"/>
            </w:tcMar>
          </w:tcPr>
          <w:p w14:paraId="6AECA0EF"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Private school</w:t>
            </w:r>
          </w:p>
        </w:tc>
        <w:tc>
          <w:tcPr>
            <w:tcW w:w="1530" w:type="dxa"/>
            <w:tcBorders>
              <w:top w:val="nil"/>
              <w:left w:val="nil"/>
              <w:bottom w:val="nil"/>
              <w:right w:val="nil"/>
            </w:tcBorders>
            <w:tcMar>
              <w:top w:w="30" w:type="dxa"/>
              <w:left w:w="60" w:type="dxa"/>
              <w:bottom w:w="30" w:type="dxa"/>
              <w:right w:w="60" w:type="dxa"/>
            </w:tcMar>
          </w:tcPr>
          <w:p w14:paraId="12E6F261"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1185" w:type="dxa"/>
            <w:tcBorders>
              <w:top w:val="nil"/>
              <w:left w:val="nil"/>
              <w:bottom w:val="nil"/>
              <w:right w:val="nil"/>
            </w:tcBorders>
            <w:tcMar>
              <w:top w:w="30" w:type="dxa"/>
              <w:left w:w="60" w:type="dxa"/>
              <w:bottom w:w="30" w:type="dxa"/>
              <w:right w:w="60" w:type="dxa"/>
            </w:tcMar>
          </w:tcPr>
          <w:p w14:paraId="40ED28F6"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104" w:type="dxa"/>
            <w:tcBorders>
              <w:top w:val="nil"/>
              <w:left w:val="nil"/>
              <w:bottom w:val="nil"/>
              <w:right w:val="nil"/>
            </w:tcBorders>
            <w:tcMar>
              <w:top w:w="30" w:type="dxa"/>
              <w:left w:w="60" w:type="dxa"/>
              <w:bottom w:w="30" w:type="dxa"/>
              <w:right w:w="60" w:type="dxa"/>
            </w:tcMar>
          </w:tcPr>
          <w:p w14:paraId="65494845" w14:textId="77777777" w:rsidR="004C7857" w:rsidRDefault="004C7857">
            <w:pPr>
              <w:spacing w:line="240" w:lineRule="auto"/>
              <w:jc w:val="center"/>
              <w:rPr>
                <w:rFonts w:ascii="Times New Roman" w:eastAsia="Times New Roman" w:hAnsi="Times New Roman" w:cs="Times New Roman"/>
              </w:rPr>
            </w:pPr>
          </w:p>
        </w:tc>
      </w:tr>
      <w:tr w:rsidR="004C7857" w14:paraId="52AD171C" w14:textId="77777777">
        <w:tc>
          <w:tcPr>
            <w:tcW w:w="6210" w:type="dxa"/>
            <w:tcBorders>
              <w:top w:val="nil"/>
              <w:left w:val="nil"/>
              <w:bottom w:val="nil"/>
              <w:right w:val="nil"/>
            </w:tcBorders>
            <w:tcMar>
              <w:top w:w="30" w:type="dxa"/>
              <w:left w:w="60" w:type="dxa"/>
              <w:bottom w:w="30" w:type="dxa"/>
              <w:right w:w="60" w:type="dxa"/>
            </w:tcMar>
          </w:tcPr>
          <w:p w14:paraId="40D45B42"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NIS</w:t>
            </w:r>
          </w:p>
        </w:tc>
        <w:tc>
          <w:tcPr>
            <w:tcW w:w="1530" w:type="dxa"/>
            <w:tcBorders>
              <w:top w:val="nil"/>
              <w:left w:val="nil"/>
              <w:bottom w:val="nil"/>
              <w:right w:val="nil"/>
            </w:tcBorders>
            <w:tcMar>
              <w:top w:w="30" w:type="dxa"/>
              <w:left w:w="60" w:type="dxa"/>
              <w:bottom w:w="30" w:type="dxa"/>
              <w:right w:w="60" w:type="dxa"/>
            </w:tcMar>
          </w:tcPr>
          <w:p w14:paraId="2DBDC82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185" w:type="dxa"/>
            <w:tcBorders>
              <w:top w:val="nil"/>
              <w:left w:val="nil"/>
              <w:bottom w:val="nil"/>
              <w:right w:val="nil"/>
            </w:tcBorders>
            <w:tcMar>
              <w:top w:w="30" w:type="dxa"/>
              <w:left w:w="60" w:type="dxa"/>
              <w:bottom w:w="30" w:type="dxa"/>
              <w:right w:w="60" w:type="dxa"/>
            </w:tcMar>
          </w:tcPr>
          <w:p w14:paraId="64B5079D"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(0.11)</w:t>
            </w:r>
          </w:p>
        </w:tc>
        <w:tc>
          <w:tcPr>
            <w:tcW w:w="104" w:type="dxa"/>
            <w:tcBorders>
              <w:top w:val="nil"/>
              <w:left w:val="nil"/>
              <w:bottom w:val="nil"/>
              <w:right w:val="nil"/>
            </w:tcBorders>
            <w:tcMar>
              <w:top w:w="30" w:type="dxa"/>
              <w:left w:w="60" w:type="dxa"/>
              <w:bottom w:w="30" w:type="dxa"/>
              <w:right w:w="60" w:type="dxa"/>
            </w:tcMar>
          </w:tcPr>
          <w:p w14:paraId="0FF204C1" w14:textId="77777777" w:rsidR="004C7857" w:rsidRDefault="004C7857">
            <w:pPr>
              <w:spacing w:line="240" w:lineRule="auto"/>
              <w:jc w:val="center"/>
              <w:rPr>
                <w:rFonts w:ascii="Times New Roman" w:eastAsia="Times New Roman" w:hAnsi="Times New Roman" w:cs="Times New Roman"/>
              </w:rPr>
            </w:pPr>
          </w:p>
        </w:tc>
      </w:tr>
      <w:tr w:rsidR="004C7857" w14:paraId="7462448C" w14:textId="77777777">
        <w:tc>
          <w:tcPr>
            <w:tcW w:w="6210" w:type="dxa"/>
            <w:tcBorders>
              <w:top w:val="nil"/>
              <w:left w:val="nil"/>
              <w:bottom w:val="nil"/>
              <w:right w:val="nil"/>
            </w:tcBorders>
            <w:tcMar>
              <w:top w:w="30" w:type="dxa"/>
              <w:left w:w="60" w:type="dxa"/>
              <w:bottom w:w="30" w:type="dxa"/>
              <w:right w:w="60" w:type="dxa"/>
            </w:tcMar>
          </w:tcPr>
          <w:p w14:paraId="555C7373"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BIL</w:t>
            </w:r>
          </w:p>
        </w:tc>
        <w:tc>
          <w:tcPr>
            <w:tcW w:w="1530" w:type="dxa"/>
            <w:tcBorders>
              <w:top w:val="nil"/>
              <w:left w:val="nil"/>
              <w:bottom w:val="nil"/>
              <w:right w:val="nil"/>
            </w:tcBorders>
            <w:tcMar>
              <w:top w:w="30" w:type="dxa"/>
              <w:left w:w="60" w:type="dxa"/>
              <w:bottom w:w="30" w:type="dxa"/>
              <w:right w:w="60" w:type="dxa"/>
            </w:tcMar>
          </w:tcPr>
          <w:p w14:paraId="56C5DA4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185" w:type="dxa"/>
            <w:tcBorders>
              <w:top w:val="nil"/>
              <w:left w:val="nil"/>
              <w:bottom w:val="nil"/>
              <w:right w:val="nil"/>
            </w:tcBorders>
            <w:tcMar>
              <w:top w:w="30" w:type="dxa"/>
              <w:left w:w="60" w:type="dxa"/>
              <w:bottom w:w="30" w:type="dxa"/>
              <w:right w:w="60" w:type="dxa"/>
            </w:tcMar>
          </w:tcPr>
          <w:p w14:paraId="7F544F13"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(0.10)</w:t>
            </w:r>
          </w:p>
        </w:tc>
        <w:tc>
          <w:tcPr>
            <w:tcW w:w="104" w:type="dxa"/>
            <w:tcBorders>
              <w:top w:val="nil"/>
              <w:left w:val="nil"/>
              <w:bottom w:val="nil"/>
              <w:right w:val="nil"/>
            </w:tcBorders>
            <w:tcMar>
              <w:top w:w="30" w:type="dxa"/>
              <w:left w:w="60" w:type="dxa"/>
              <w:bottom w:w="30" w:type="dxa"/>
              <w:right w:w="60" w:type="dxa"/>
            </w:tcMar>
          </w:tcPr>
          <w:p w14:paraId="606A9851" w14:textId="77777777" w:rsidR="004C7857" w:rsidRDefault="004C7857">
            <w:pPr>
              <w:spacing w:line="240" w:lineRule="auto"/>
              <w:jc w:val="center"/>
              <w:rPr>
                <w:rFonts w:ascii="Times New Roman" w:eastAsia="Times New Roman" w:hAnsi="Times New Roman" w:cs="Times New Roman"/>
              </w:rPr>
            </w:pPr>
          </w:p>
        </w:tc>
      </w:tr>
      <w:tr w:rsidR="004C7857" w14:paraId="59F9902B" w14:textId="77777777">
        <w:tc>
          <w:tcPr>
            <w:tcW w:w="6210" w:type="dxa"/>
            <w:tcBorders>
              <w:top w:val="nil"/>
              <w:left w:val="nil"/>
              <w:bottom w:val="nil"/>
              <w:right w:val="nil"/>
            </w:tcBorders>
            <w:tcMar>
              <w:top w:w="30" w:type="dxa"/>
              <w:left w:w="60" w:type="dxa"/>
              <w:bottom w:w="30" w:type="dxa"/>
              <w:right w:w="60" w:type="dxa"/>
            </w:tcMar>
          </w:tcPr>
          <w:p w14:paraId="78ECA8FD"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International school</w:t>
            </w:r>
          </w:p>
        </w:tc>
        <w:tc>
          <w:tcPr>
            <w:tcW w:w="1530" w:type="dxa"/>
            <w:tcBorders>
              <w:top w:val="nil"/>
              <w:left w:val="nil"/>
              <w:bottom w:val="nil"/>
              <w:right w:val="nil"/>
            </w:tcBorders>
            <w:tcMar>
              <w:top w:w="30" w:type="dxa"/>
              <w:left w:w="60" w:type="dxa"/>
              <w:bottom w:w="30" w:type="dxa"/>
              <w:right w:w="60" w:type="dxa"/>
            </w:tcMar>
          </w:tcPr>
          <w:p w14:paraId="2A1BF51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0.002</w:t>
            </w:r>
          </w:p>
        </w:tc>
        <w:tc>
          <w:tcPr>
            <w:tcW w:w="1185" w:type="dxa"/>
            <w:tcBorders>
              <w:top w:val="nil"/>
              <w:left w:val="nil"/>
              <w:bottom w:val="nil"/>
              <w:right w:val="nil"/>
            </w:tcBorders>
            <w:tcMar>
              <w:top w:w="30" w:type="dxa"/>
              <w:left w:w="60" w:type="dxa"/>
              <w:bottom w:w="30" w:type="dxa"/>
              <w:right w:w="60" w:type="dxa"/>
            </w:tcMar>
          </w:tcPr>
          <w:p w14:paraId="0D970F1D"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04" w:type="dxa"/>
            <w:tcBorders>
              <w:top w:val="nil"/>
              <w:left w:val="nil"/>
              <w:bottom w:val="nil"/>
              <w:right w:val="nil"/>
            </w:tcBorders>
            <w:tcMar>
              <w:top w:w="30" w:type="dxa"/>
              <w:left w:w="60" w:type="dxa"/>
              <w:bottom w:w="30" w:type="dxa"/>
              <w:right w:w="60" w:type="dxa"/>
            </w:tcMar>
          </w:tcPr>
          <w:p w14:paraId="772B7A23" w14:textId="77777777" w:rsidR="004C7857" w:rsidRDefault="004C7857">
            <w:pPr>
              <w:spacing w:line="240" w:lineRule="auto"/>
              <w:jc w:val="center"/>
              <w:rPr>
                <w:rFonts w:ascii="Times New Roman" w:eastAsia="Times New Roman" w:hAnsi="Times New Roman" w:cs="Times New Roman"/>
              </w:rPr>
            </w:pPr>
          </w:p>
        </w:tc>
      </w:tr>
      <w:tr w:rsidR="004C7857" w14:paraId="4D2FECDE" w14:textId="77777777">
        <w:tc>
          <w:tcPr>
            <w:tcW w:w="6210" w:type="dxa"/>
            <w:tcBorders>
              <w:top w:val="nil"/>
              <w:left w:val="nil"/>
              <w:bottom w:val="nil"/>
              <w:right w:val="nil"/>
            </w:tcBorders>
            <w:tcMar>
              <w:top w:w="30" w:type="dxa"/>
              <w:left w:w="60" w:type="dxa"/>
              <w:bottom w:w="30" w:type="dxa"/>
              <w:right w:w="60" w:type="dxa"/>
            </w:tcMar>
          </w:tcPr>
          <w:p w14:paraId="561C9A69"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Daryn</w:t>
            </w:r>
            <w:proofErr w:type="spellEnd"/>
          </w:p>
        </w:tc>
        <w:tc>
          <w:tcPr>
            <w:tcW w:w="1530" w:type="dxa"/>
            <w:tcBorders>
              <w:top w:val="nil"/>
              <w:left w:val="nil"/>
              <w:bottom w:val="nil"/>
              <w:right w:val="nil"/>
            </w:tcBorders>
            <w:tcMar>
              <w:top w:w="30" w:type="dxa"/>
              <w:left w:w="60" w:type="dxa"/>
              <w:bottom w:w="30" w:type="dxa"/>
              <w:right w:w="60" w:type="dxa"/>
            </w:tcMar>
          </w:tcPr>
          <w:p w14:paraId="225C915A"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0.002</w:t>
            </w:r>
          </w:p>
        </w:tc>
        <w:tc>
          <w:tcPr>
            <w:tcW w:w="1185" w:type="dxa"/>
            <w:tcBorders>
              <w:top w:val="nil"/>
              <w:left w:val="nil"/>
              <w:bottom w:val="nil"/>
              <w:right w:val="nil"/>
            </w:tcBorders>
            <w:tcMar>
              <w:top w:w="30" w:type="dxa"/>
              <w:left w:w="60" w:type="dxa"/>
              <w:bottom w:w="30" w:type="dxa"/>
              <w:right w:w="60" w:type="dxa"/>
            </w:tcMar>
          </w:tcPr>
          <w:p w14:paraId="5440F00D"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04" w:type="dxa"/>
            <w:tcBorders>
              <w:top w:val="nil"/>
              <w:left w:val="nil"/>
              <w:bottom w:val="nil"/>
              <w:right w:val="nil"/>
            </w:tcBorders>
            <w:tcMar>
              <w:top w:w="30" w:type="dxa"/>
              <w:left w:w="60" w:type="dxa"/>
              <w:bottom w:w="30" w:type="dxa"/>
              <w:right w:w="60" w:type="dxa"/>
            </w:tcMar>
          </w:tcPr>
          <w:p w14:paraId="5A461211" w14:textId="77777777" w:rsidR="004C7857" w:rsidRDefault="004C7857">
            <w:pPr>
              <w:spacing w:line="240" w:lineRule="auto"/>
              <w:jc w:val="center"/>
              <w:rPr>
                <w:rFonts w:ascii="Times New Roman" w:eastAsia="Times New Roman" w:hAnsi="Times New Roman" w:cs="Times New Roman"/>
              </w:rPr>
            </w:pPr>
          </w:p>
        </w:tc>
      </w:tr>
      <w:tr w:rsidR="004C7857" w14:paraId="4CF11EA3" w14:textId="77777777">
        <w:tc>
          <w:tcPr>
            <w:tcW w:w="6210" w:type="dxa"/>
            <w:tcBorders>
              <w:top w:val="nil"/>
              <w:left w:val="nil"/>
              <w:bottom w:val="nil"/>
              <w:right w:val="nil"/>
            </w:tcBorders>
            <w:tcMar>
              <w:top w:w="30" w:type="dxa"/>
              <w:left w:w="60" w:type="dxa"/>
              <w:bottom w:w="30" w:type="dxa"/>
              <w:right w:w="60" w:type="dxa"/>
            </w:tcMar>
          </w:tcPr>
          <w:p w14:paraId="429EE08F"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Fizmat</w:t>
            </w:r>
            <w:proofErr w:type="spellEnd"/>
          </w:p>
        </w:tc>
        <w:tc>
          <w:tcPr>
            <w:tcW w:w="1530" w:type="dxa"/>
            <w:tcBorders>
              <w:top w:val="nil"/>
              <w:left w:val="nil"/>
              <w:bottom w:val="nil"/>
              <w:right w:val="nil"/>
            </w:tcBorders>
            <w:tcMar>
              <w:top w:w="30" w:type="dxa"/>
              <w:left w:w="60" w:type="dxa"/>
              <w:bottom w:w="30" w:type="dxa"/>
              <w:right w:w="60" w:type="dxa"/>
            </w:tcMar>
          </w:tcPr>
          <w:p w14:paraId="6419949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0.002</w:t>
            </w:r>
          </w:p>
        </w:tc>
        <w:tc>
          <w:tcPr>
            <w:tcW w:w="1185" w:type="dxa"/>
            <w:tcBorders>
              <w:top w:val="nil"/>
              <w:left w:val="nil"/>
              <w:bottom w:val="nil"/>
              <w:right w:val="nil"/>
            </w:tcBorders>
            <w:tcMar>
              <w:top w:w="30" w:type="dxa"/>
              <w:left w:w="60" w:type="dxa"/>
              <w:bottom w:w="30" w:type="dxa"/>
              <w:right w:w="60" w:type="dxa"/>
            </w:tcMar>
          </w:tcPr>
          <w:p w14:paraId="4466E32A"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04" w:type="dxa"/>
            <w:tcBorders>
              <w:top w:val="nil"/>
              <w:left w:val="nil"/>
              <w:bottom w:val="nil"/>
              <w:right w:val="nil"/>
            </w:tcBorders>
            <w:tcMar>
              <w:top w:w="30" w:type="dxa"/>
              <w:left w:w="60" w:type="dxa"/>
              <w:bottom w:w="30" w:type="dxa"/>
              <w:right w:w="60" w:type="dxa"/>
            </w:tcMar>
          </w:tcPr>
          <w:p w14:paraId="3A258877" w14:textId="77777777" w:rsidR="004C7857" w:rsidRDefault="004C7857">
            <w:pPr>
              <w:spacing w:line="240" w:lineRule="auto"/>
              <w:jc w:val="center"/>
              <w:rPr>
                <w:rFonts w:ascii="Times New Roman" w:eastAsia="Times New Roman" w:hAnsi="Times New Roman" w:cs="Times New Roman"/>
              </w:rPr>
            </w:pPr>
          </w:p>
        </w:tc>
      </w:tr>
      <w:tr w:rsidR="004C7857" w14:paraId="7613EE37" w14:textId="77777777">
        <w:tc>
          <w:tcPr>
            <w:tcW w:w="6210" w:type="dxa"/>
            <w:tcBorders>
              <w:top w:val="nil"/>
              <w:left w:val="nil"/>
              <w:bottom w:val="nil"/>
              <w:right w:val="nil"/>
            </w:tcBorders>
            <w:tcMar>
              <w:top w:w="30" w:type="dxa"/>
              <w:left w:w="60" w:type="dxa"/>
              <w:bottom w:w="30" w:type="dxa"/>
              <w:right w:w="60" w:type="dxa"/>
            </w:tcMar>
          </w:tcPr>
          <w:p w14:paraId="59313226"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IQanat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Burabay</w:t>
            </w:r>
            <w:proofErr w:type="spellEnd"/>
          </w:p>
        </w:tc>
        <w:tc>
          <w:tcPr>
            <w:tcW w:w="1530" w:type="dxa"/>
            <w:tcBorders>
              <w:top w:val="nil"/>
              <w:left w:val="nil"/>
              <w:bottom w:val="nil"/>
              <w:right w:val="nil"/>
            </w:tcBorders>
            <w:tcMar>
              <w:top w:w="30" w:type="dxa"/>
              <w:left w:w="60" w:type="dxa"/>
              <w:bottom w:w="30" w:type="dxa"/>
              <w:right w:w="60" w:type="dxa"/>
            </w:tcMar>
          </w:tcPr>
          <w:p w14:paraId="4F5DBAF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0.001</w:t>
            </w:r>
          </w:p>
        </w:tc>
        <w:tc>
          <w:tcPr>
            <w:tcW w:w="1185" w:type="dxa"/>
            <w:tcBorders>
              <w:top w:val="nil"/>
              <w:left w:val="nil"/>
              <w:bottom w:val="nil"/>
              <w:right w:val="nil"/>
            </w:tcBorders>
            <w:tcMar>
              <w:top w:w="30" w:type="dxa"/>
              <w:left w:w="60" w:type="dxa"/>
              <w:bottom w:w="30" w:type="dxa"/>
              <w:right w:w="60" w:type="dxa"/>
            </w:tcMar>
          </w:tcPr>
          <w:p w14:paraId="59DA636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104" w:type="dxa"/>
            <w:tcBorders>
              <w:top w:val="nil"/>
              <w:left w:val="nil"/>
              <w:bottom w:val="nil"/>
              <w:right w:val="nil"/>
            </w:tcBorders>
            <w:tcMar>
              <w:top w:w="30" w:type="dxa"/>
              <w:left w:w="60" w:type="dxa"/>
              <w:bottom w:w="30" w:type="dxa"/>
              <w:right w:w="60" w:type="dxa"/>
            </w:tcMar>
          </w:tcPr>
          <w:p w14:paraId="2A255AAA" w14:textId="77777777" w:rsidR="004C7857" w:rsidRDefault="004C7857">
            <w:pPr>
              <w:spacing w:line="240" w:lineRule="auto"/>
              <w:jc w:val="center"/>
              <w:rPr>
                <w:rFonts w:ascii="Times New Roman" w:eastAsia="Times New Roman" w:hAnsi="Times New Roman" w:cs="Times New Roman"/>
              </w:rPr>
            </w:pPr>
          </w:p>
        </w:tc>
      </w:tr>
      <w:tr w:rsidR="004C7857" w14:paraId="413CFF23" w14:textId="77777777">
        <w:tc>
          <w:tcPr>
            <w:tcW w:w="6210" w:type="dxa"/>
            <w:tcBorders>
              <w:top w:val="nil"/>
              <w:left w:val="nil"/>
              <w:bottom w:val="nil"/>
              <w:right w:val="nil"/>
            </w:tcBorders>
            <w:tcMar>
              <w:top w:w="30" w:type="dxa"/>
              <w:left w:w="60" w:type="dxa"/>
              <w:bottom w:w="30" w:type="dxa"/>
              <w:right w:w="60" w:type="dxa"/>
            </w:tcMar>
          </w:tcPr>
          <w:p w14:paraId="75A6B89A" w14:textId="77777777" w:rsidR="004C7857" w:rsidRDefault="00000000">
            <w:pPr>
              <w:spacing w:line="240" w:lineRule="auto"/>
              <w:rPr>
                <w:rFonts w:ascii="Times New Roman" w:eastAsia="Times New Roman" w:hAnsi="Times New Roman" w:cs="Times New Roman"/>
                <w:highlight w:val="white"/>
                <w:vertAlign w:val="superscript"/>
              </w:rPr>
            </w:pP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Other selective </w:t>
            </w:r>
            <w:proofErr w:type="spellStart"/>
            <w:r>
              <w:rPr>
                <w:rFonts w:ascii="Times New Roman" w:eastAsia="Times New Roman" w:hAnsi="Times New Roman" w:cs="Times New Roman"/>
                <w:highlight w:val="white"/>
              </w:rPr>
              <w:t>school</w:t>
            </w:r>
            <w:r>
              <w:rPr>
                <w:rFonts w:ascii="Times New Roman" w:eastAsia="Times New Roman" w:hAnsi="Times New Roman" w:cs="Times New Roman"/>
                <w:highlight w:val="white"/>
                <w:vertAlign w:val="superscript"/>
              </w:rPr>
              <w:t>a</w:t>
            </w:r>
            <w:proofErr w:type="spellEnd"/>
          </w:p>
        </w:tc>
        <w:tc>
          <w:tcPr>
            <w:tcW w:w="1530" w:type="dxa"/>
            <w:tcBorders>
              <w:top w:val="nil"/>
              <w:left w:val="nil"/>
              <w:bottom w:val="nil"/>
              <w:right w:val="nil"/>
            </w:tcBorders>
            <w:tcMar>
              <w:top w:w="30" w:type="dxa"/>
              <w:left w:w="60" w:type="dxa"/>
              <w:bottom w:w="30" w:type="dxa"/>
              <w:right w:w="60" w:type="dxa"/>
            </w:tcMar>
          </w:tcPr>
          <w:p w14:paraId="1804D945"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1185" w:type="dxa"/>
            <w:tcBorders>
              <w:top w:val="nil"/>
              <w:left w:val="nil"/>
              <w:bottom w:val="nil"/>
              <w:right w:val="nil"/>
            </w:tcBorders>
            <w:tcMar>
              <w:top w:w="30" w:type="dxa"/>
              <w:left w:w="60" w:type="dxa"/>
              <w:bottom w:w="30" w:type="dxa"/>
              <w:right w:w="60" w:type="dxa"/>
            </w:tcMar>
          </w:tcPr>
          <w:p w14:paraId="0D0FE025"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(0.15)</w:t>
            </w:r>
          </w:p>
        </w:tc>
        <w:tc>
          <w:tcPr>
            <w:tcW w:w="104" w:type="dxa"/>
            <w:tcBorders>
              <w:top w:val="nil"/>
              <w:left w:val="nil"/>
              <w:bottom w:val="nil"/>
              <w:right w:val="nil"/>
            </w:tcBorders>
            <w:tcMar>
              <w:top w:w="30" w:type="dxa"/>
              <w:left w:w="60" w:type="dxa"/>
              <w:bottom w:w="30" w:type="dxa"/>
              <w:right w:w="60" w:type="dxa"/>
            </w:tcMar>
          </w:tcPr>
          <w:p w14:paraId="3516A822" w14:textId="77777777" w:rsidR="004C7857" w:rsidRDefault="004C7857">
            <w:pPr>
              <w:spacing w:line="240" w:lineRule="auto"/>
              <w:jc w:val="center"/>
              <w:rPr>
                <w:rFonts w:ascii="Times New Roman" w:eastAsia="Times New Roman" w:hAnsi="Times New Roman" w:cs="Times New Roman"/>
              </w:rPr>
            </w:pPr>
          </w:p>
        </w:tc>
      </w:tr>
      <w:tr w:rsidR="004C7857" w14:paraId="3336D032" w14:textId="77777777">
        <w:tc>
          <w:tcPr>
            <w:tcW w:w="6210" w:type="dxa"/>
            <w:tcBorders>
              <w:top w:val="nil"/>
              <w:left w:val="nil"/>
              <w:bottom w:val="nil"/>
              <w:right w:val="nil"/>
            </w:tcBorders>
            <w:tcMar>
              <w:top w:w="30" w:type="dxa"/>
              <w:left w:w="60" w:type="dxa"/>
              <w:bottom w:w="30" w:type="dxa"/>
              <w:right w:w="60" w:type="dxa"/>
            </w:tcMar>
          </w:tcPr>
          <w:p w14:paraId="5C14B2F0"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High school diploma with honors</w:t>
            </w:r>
          </w:p>
        </w:tc>
        <w:tc>
          <w:tcPr>
            <w:tcW w:w="1530" w:type="dxa"/>
            <w:tcBorders>
              <w:top w:val="nil"/>
              <w:left w:val="nil"/>
              <w:bottom w:val="nil"/>
              <w:right w:val="nil"/>
            </w:tcBorders>
            <w:tcMar>
              <w:top w:w="30" w:type="dxa"/>
              <w:left w:w="60" w:type="dxa"/>
              <w:bottom w:w="30" w:type="dxa"/>
              <w:right w:w="60" w:type="dxa"/>
            </w:tcMar>
          </w:tcPr>
          <w:p w14:paraId="21217722"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0.10</w:t>
            </w:r>
          </w:p>
        </w:tc>
        <w:tc>
          <w:tcPr>
            <w:tcW w:w="1185" w:type="dxa"/>
            <w:tcBorders>
              <w:top w:val="nil"/>
              <w:left w:val="nil"/>
              <w:bottom w:val="nil"/>
              <w:right w:val="nil"/>
            </w:tcBorders>
            <w:tcMar>
              <w:top w:w="30" w:type="dxa"/>
              <w:left w:w="60" w:type="dxa"/>
              <w:bottom w:w="30" w:type="dxa"/>
              <w:right w:w="60" w:type="dxa"/>
            </w:tcMar>
          </w:tcPr>
          <w:p w14:paraId="1BE413F1"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(0.30)</w:t>
            </w:r>
          </w:p>
        </w:tc>
        <w:tc>
          <w:tcPr>
            <w:tcW w:w="104" w:type="dxa"/>
            <w:tcBorders>
              <w:top w:val="nil"/>
              <w:left w:val="nil"/>
              <w:bottom w:val="nil"/>
              <w:right w:val="nil"/>
            </w:tcBorders>
            <w:tcMar>
              <w:top w:w="30" w:type="dxa"/>
              <w:left w:w="60" w:type="dxa"/>
              <w:bottom w:w="30" w:type="dxa"/>
              <w:right w:w="60" w:type="dxa"/>
            </w:tcMar>
          </w:tcPr>
          <w:p w14:paraId="17DDCE0F" w14:textId="77777777" w:rsidR="004C7857" w:rsidRDefault="004C7857">
            <w:pPr>
              <w:spacing w:line="240" w:lineRule="auto"/>
              <w:jc w:val="center"/>
              <w:rPr>
                <w:rFonts w:ascii="Times New Roman" w:eastAsia="Times New Roman" w:hAnsi="Times New Roman" w:cs="Times New Roman"/>
              </w:rPr>
            </w:pPr>
          </w:p>
        </w:tc>
      </w:tr>
      <w:tr w:rsidR="004C7857" w14:paraId="2F775E57" w14:textId="77777777">
        <w:tc>
          <w:tcPr>
            <w:tcW w:w="6210" w:type="dxa"/>
            <w:tcBorders>
              <w:top w:val="nil"/>
              <w:left w:val="nil"/>
              <w:bottom w:val="nil"/>
              <w:right w:val="nil"/>
            </w:tcBorders>
            <w:tcMar>
              <w:top w:w="30" w:type="dxa"/>
              <w:left w:w="60" w:type="dxa"/>
              <w:bottom w:w="30" w:type="dxa"/>
              <w:right w:w="60" w:type="dxa"/>
            </w:tcMar>
          </w:tcPr>
          <w:p w14:paraId="58DDD139" w14:textId="77777777" w:rsidR="004C785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Altyn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Belgi</w:t>
            </w:r>
            <w:proofErr w:type="spellEnd"/>
            <w:r>
              <w:rPr>
                <w:rFonts w:ascii="Times New Roman" w:eastAsia="Times New Roman" w:hAnsi="Times New Roman" w:cs="Times New Roman"/>
              </w:rPr>
              <w:t xml:space="preserve"> medal</w:t>
            </w:r>
          </w:p>
        </w:tc>
        <w:tc>
          <w:tcPr>
            <w:tcW w:w="1530" w:type="dxa"/>
            <w:tcBorders>
              <w:top w:val="nil"/>
              <w:left w:val="nil"/>
              <w:bottom w:val="nil"/>
              <w:right w:val="nil"/>
            </w:tcBorders>
            <w:tcMar>
              <w:top w:w="30" w:type="dxa"/>
              <w:left w:w="60" w:type="dxa"/>
              <w:bottom w:w="30" w:type="dxa"/>
              <w:right w:w="60" w:type="dxa"/>
            </w:tcMar>
          </w:tcPr>
          <w:p w14:paraId="50B06759"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185" w:type="dxa"/>
            <w:tcBorders>
              <w:top w:val="nil"/>
              <w:left w:val="nil"/>
              <w:bottom w:val="nil"/>
              <w:right w:val="nil"/>
            </w:tcBorders>
            <w:tcMar>
              <w:top w:w="30" w:type="dxa"/>
              <w:left w:w="60" w:type="dxa"/>
              <w:bottom w:w="30" w:type="dxa"/>
              <w:right w:w="60" w:type="dxa"/>
            </w:tcMar>
          </w:tcPr>
          <w:p w14:paraId="1A79B3E6"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(0.11)</w:t>
            </w:r>
          </w:p>
        </w:tc>
        <w:tc>
          <w:tcPr>
            <w:tcW w:w="104" w:type="dxa"/>
            <w:tcBorders>
              <w:top w:val="nil"/>
              <w:left w:val="nil"/>
              <w:bottom w:val="nil"/>
              <w:right w:val="nil"/>
            </w:tcBorders>
            <w:tcMar>
              <w:top w:w="30" w:type="dxa"/>
              <w:left w:w="60" w:type="dxa"/>
              <w:bottom w:w="30" w:type="dxa"/>
              <w:right w:w="60" w:type="dxa"/>
            </w:tcMar>
          </w:tcPr>
          <w:p w14:paraId="49F74DFA" w14:textId="77777777" w:rsidR="004C7857" w:rsidRDefault="004C7857">
            <w:pPr>
              <w:spacing w:line="240" w:lineRule="auto"/>
              <w:jc w:val="center"/>
              <w:rPr>
                <w:rFonts w:ascii="Times New Roman" w:eastAsia="Times New Roman" w:hAnsi="Times New Roman" w:cs="Times New Roman"/>
              </w:rPr>
            </w:pPr>
          </w:p>
        </w:tc>
      </w:tr>
      <w:tr w:rsidR="004C7857" w14:paraId="710164A3" w14:textId="77777777">
        <w:tc>
          <w:tcPr>
            <w:tcW w:w="6210" w:type="dxa"/>
            <w:tcBorders>
              <w:top w:val="nil"/>
              <w:left w:val="nil"/>
              <w:bottom w:val="nil"/>
              <w:right w:val="nil"/>
            </w:tcBorders>
            <w:tcMar>
              <w:top w:w="30" w:type="dxa"/>
              <w:left w:w="60" w:type="dxa"/>
              <w:bottom w:w="30" w:type="dxa"/>
              <w:right w:w="60" w:type="dxa"/>
            </w:tcMar>
          </w:tcPr>
          <w:p w14:paraId="116B0660"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Female</w:t>
            </w:r>
          </w:p>
        </w:tc>
        <w:tc>
          <w:tcPr>
            <w:tcW w:w="1530" w:type="dxa"/>
            <w:tcBorders>
              <w:top w:val="nil"/>
              <w:left w:val="nil"/>
              <w:bottom w:val="nil"/>
              <w:right w:val="nil"/>
            </w:tcBorders>
            <w:tcMar>
              <w:top w:w="30" w:type="dxa"/>
              <w:left w:w="60" w:type="dxa"/>
              <w:bottom w:w="30" w:type="dxa"/>
              <w:right w:w="60" w:type="dxa"/>
            </w:tcMar>
          </w:tcPr>
          <w:p w14:paraId="51E05163"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0.53</w:t>
            </w:r>
          </w:p>
        </w:tc>
        <w:tc>
          <w:tcPr>
            <w:tcW w:w="1185" w:type="dxa"/>
            <w:tcBorders>
              <w:top w:val="nil"/>
              <w:left w:val="nil"/>
              <w:bottom w:val="nil"/>
              <w:right w:val="nil"/>
            </w:tcBorders>
            <w:tcMar>
              <w:top w:w="30" w:type="dxa"/>
              <w:left w:w="60" w:type="dxa"/>
              <w:bottom w:w="30" w:type="dxa"/>
              <w:right w:w="60" w:type="dxa"/>
            </w:tcMar>
          </w:tcPr>
          <w:p w14:paraId="259F2BD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(0.50)</w:t>
            </w:r>
          </w:p>
        </w:tc>
        <w:tc>
          <w:tcPr>
            <w:tcW w:w="104" w:type="dxa"/>
            <w:tcBorders>
              <w:top w:val="nil"/>
              <w:left w:val="nil"/>
              <w:bottom w:val="nil"/>
              <w:right w:val="nil"/>
            </w:tcBorders>
            <w:tcMar>
              <w:top w:w="30" w:type="dxa"/>
              <w:left w:w="60" w:type="dxa"/>
              <w:bottom w:w="30" w:type="dxa"/>
              <w:right w:w="60" w:type="dxa"/>
            </w:tcMar>
          </w:tcPr>
          <w:p w14:paraId="6662A283" w14:textId="77777777" w:rsidR="004C7857" w:rsidRDefault="004C7857">
            <w:pPr>
              <w:spacing w:line="240" w:lineRule="auto"/>
              <w:jc w:val="center"/>
              <w:rPr>
                <w:rFonts w:ascii="Times New Roman" w:eastAsia="Times New Roman" w:hAnsi="Times New Roman" w:cs="Times New Roman"/>
              </w:rPr>
            </w:pPr>
          </w:p>
        </w:tc>
      </w:tr>
      <w:tr w:rsidR="004C7857" w14:paraId="617C320D" w14:textId="77777777">
        <w:tc>
          <w:tcPr>
            <w:tcW w:w="6210" w:type="dxa"/>
            <w:tcBorders>
              <w:top w:val="nil"/>
              <w:left w:val="nil"/>
              <w:bottom w:val="nil"/>
              <w:right w:val="nil"/>
            </w:tcBorders>
            <w:tcMar>
              <w:top w:w="30" w:type="dxa"/>
              <w:left w:w="60" w:type="dxa"/>
              <w:bottom w:w="30" w:type="dxa"/>
              <w:right w:w="60" w:type="dxa"/>
            </w:tcMar>
          </w:tcPr>
          <w:p w14:paraId="5D7EB461"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Language of instruction:</w:t>
            </w:r>
          </w:p>
        </w:tc>
        <w:tc>
          <w:tcPr>
            <w:tcW w:w="1530" w:type="dxa"/>
            <w:tcBorders>
              <w:top w:val="nil"/>
              <w:left w:val="nil"/>
              <w:bottom w:val="nil"/>
              <w:right w:val="nil"/>
            </w:tcBorders>
            <w:tcMar>
              <w:top w:w="30" w:type="dxa"/>
              <w:left w:w="60" w:type="dxa"/>
              <w:bottom w:w="30" w:type="dxa"/>
              <w:right w:w="60" w:type="dxa"/>
            </w:tcMar>
          </w:tcPr>
          <w:p w14:paraId="60DACE1E" w14:textId="77777777" w:rsidR="004C7857" w:rsidRDefault="004C7857">
            <w:pPr>
              <w:spacing w:line="240" w:lineRule="auto"/>
              <w:jc w:val="center"/>
              <w:rPr>
                <w:rFonts w:ascii="Times New Roman" w:eastAsia="Times New Roman" w:hAnsi="Times New Roman" w:cs="Times New Roman"/>
              </w:rPr>
            </w:pPr>
          </w:p>
        </w:tc>
        <w:tc>
          <w:tcPr>
            <w:tcW w:w="1185" w:type="dxa"/>
            <w:tcBorders>
              <w:top w:val="nil"/>
              <w:left w:val="nil"/>
              <w:bottom w:val="nil"/>
              <w:right w:val="nil"/>
            </w:tcBorders>
            <w:tcMar>
              <w:top w:w="30" w:type="dxa"/>
              <w:left w:w="60" w:type="dxa"/>
              <w:bottom w:w="30" w:type="dxa"/>
              <w:right w:w="60" w:type="dxa"/>
            </w:tcMar>
          </w:tcPr>
          <w:p w14:paraId="45224FC8" w14:textId="77777777" w:rsidR="004C7857" w:rsidRDefault="004C7857">
            <w:pPr>
              <w:spacing w:line="240" w:lineRule="auto"/>
              <w:jc w:val="center"/>
              <w:rPr>
                <w:rFonts w:ascii="Times New Roman" w:eastAsia="Times New Roman" w:hAnsi="Times New Roman" w:cs="Times New Roman"/>
              </w:rPr>
            </w:pPr>
          </w:p>
        </w:tc>
        <w:tc>
          <w:tcPr>
            <w:tcW w:w="104" w:type="dxa"/>
            <w:tcBorders>
              <w:top w:val="nil"/>
              <w:left w:val="nil"/>
              <w:bottom w:val="nil"/>
              <w:right w:val="nil"/>
            </w:tcBorders>
            <w:tcMar>
              <w:top w:w="30" w:type="dxa"/>
              <w:left w:w="60" w:type="dxa"/>
              <w:bottom w:w="30" w:type="dxa"/>
              <w:right w:w="60" w:type="dxa"/>
            </w:tcMar>
          </w:tcPr>
          <w:p w14:paraId="505B814C" w14:textId="77777777" w:rsidR="004C7857" w:rsidRDefault="004C7857">
            <w:pPr>
              <w:spacing w:line="240" w:lineRule="auto"/>
              <w:jc w:val="center"/>
              <w:rPr>
                <w:rFonts w:ascii="Times New Roman" w:eastAsia="Times New Roman" w:hAnsi="Times New Roman" w:cs="Times New Roman"/>
              </w:rPr>
            </w:pPr>
          </w:p>
        </w:tc>
      </w:tr>
      <w:tr w:rsidR="004C7857" w14:paraId="03AB3927" w14:textId="77777777">
        <w:tc>
          <w:tcPr>
            <w:tcW w:w="6210" w:type="dxa"/>
            <w:tcBorders>
              <w:top w:val="nil"/>
              <w:left w:val="nil"/>
              <w:bottom w:val="nil"/>
              <w:right w:val="nil"/>
            </w:tcBorders>
            <w:tcMar>
              <w:top w:w="30" w:type="dxa"/>
              <w:left w:w="60" w:type="dxa"/>
              <w:bottom w:w="30" w:type="dxa"/>
              <w:right w:w="60" w:type="dxa"/>
            </w:tcMar>
          </w:tcPr>
          <w:p w14:paraId="7498F6B5"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Kazakh</w:t>
            </w:r>
          </w:p>
        </w:tc>
        <w:tc>
          <w:tcPr>
            <w:tcW w:w="1530" w:type="dxa"/>
            <w:tcBorders>
              <w:top w:val="nil"/>
              <w:left w:val="nil"/>
              <w:bottom w:val="nil"/>
              <w:right w:val="nil"/>
            </w:tcBorders>
            <w:tcMar>
              <w:top w:w="30" w:type="dxa"/>
              <w:left w:w="60" w:type="dxa"/>
              <w:bottom w:w="30" w:type="dxa"/>
              <w:right w:w="60" w:type="dxa"/>
            </w:tcMar>
          </w:tcPr>
          <w:p w14:paraId="2B3D83BA"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0.70</w:t>
            </w:r>
          </w:p>
        </w:tc>
        <w:tc>
          <w:tcPr>
            <w:tcW w:w="1185" w:type="dxa"/>
            <w:tcBorders>
              <w:top w:val="nil"/>
              <w:left w:val="nil"/>
              <w:bottom w:val="nil"/>
              <w:right w:val="nil"/>
            </w:tcBorders>
            <w:tcMar>
              <w:top w:w="30" w:type="dxa"/>
              <w:left w:w="60" w:type="dxa"/>
              <w:bottom w:w="30" w:type="dxa"/>
              <w:right w:w="60" w:type="dxa"/>
            </w:tcMar>
          </w:tcPr>
          <w:p w14:paraId="71F347B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(0.46)</w:t>
            </w:r>
          </w:p>
        </w:tc>
        <w:tc>
          <w:tcPr>
            <w:tcW w:w="104" w:type="dxa"/>
            <w:tcBorders>
              <w:top w:val="nil"/>
              <w:left w:val="nil"/>
              <w:bottom w:val="nil"/>
              <w:right w:val="nil"/>
            </w:tcBorders>
            <w:tcMar>
              <w:top w:w="30" w:type="dxa"/>
              <w:left w:w="60" w:type="dxa"/>
              <w:bottom w:w="30" w:type="dxa"/>
              <w:right w:w="60" w:type="dxa"/>
            </w:tcMar>
          </w:tcPr>
          <w:p w14:paraId="1D132CD2" w14:textId="77777777" w:rsidR="004C7857" w:rsidRDefault="004C7857">
            <w:pPr>
              <w:spacing w:line="240" w:lineRule="auto"/>
              <w:jc w:val="center"/>
              <w:rPr>
                <w:rFonts w:ascii="Times New Roman" w:eastAsia="Times New Roman" w:hAnsi="Times New Roman" w:cs="Times New Roman"/>
              </w:rPr>
            </w:pPr>
          </w:p>
        </w:tc>
      </w:tr>
      <w:tr w:rsidR="004C7857" w14:paraId="5BE86EC1" w14:textId="77777777">
        <w:tc>
          <w:tcPr>
            <w:tcW w:w="6210" w:type="dxa"/>
            <w:tcBorders>
              <w:top w:val="nil"/>
              <w:left w:val="nil"/>
              <w:bottom w:val="nil"/>
              <w:right w:val="nil"/>
            </w:tcBorders>
            <w:tcMar>
              <w:top w:w="30" w:type="dxa"/>
              <w:left w:w="60" w:type="dxa"/>
              <w:bottom w:w="30" w:type="dxa"/>
              <w:right w:w="60" w:type="dxa"/>
            </w:tcMar>
          </w:tcPr>
          <w:p w14:paraId="5ABC3DDF"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Russian</w:t>
            </w:r>
          </w:p>
        </w:tc>
        <w:tc>
          <w:tcPr>
            <w:tcW w:w="1530" w:type="dxa"/>
            <w:tcBorders>
              <w:top w:val="nil"/>
              <w:left w:val="nil"/>
              <w:bottom w:val="nil"/>
              <w:right w:val="nil"/>
            </w:tcBorders>
            <w:tcMar>
              <w:top w:w="30" w:type="dxa"/>
              <w:left w:w="60" w:type="dxa"/>
              <w:bottom w:w="30" w:type="dxa"/>
              <w:right w:w="60" w:type="dxa"/>
            </w:tcMar>
          </w:tcPr>
          <w:p w14:paraId="029E706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0.27</w:t>
            </w:r>
          </w:p>
        </w:tc>
        <w:tc>
          <w:tcPr>
            <w:tcW w:w="1185" w:type="dxa"/>
            <w:tcBorders>
              <w:top w:val="nil"/>
              <w:left w:val="nil"/>
              <w:bottom w:val="nil"/>
              <w:right w:val="nil"/>
            </w:tcBorders>
            <w:tcMar>
              <w:top w:w="30" w:type="dxa"/>
              <w:left w:w="60" w:type="dxa"/>
              <w:bottom w:w="30" w:type="dxa"/>
              <w:right w:w="60" w:type="dxa"/>
            </w:tcMar>
          </w:tcPr>
          <w:p w14:paraId="134AD179"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(0.44)</w:t>
            </w:r>
          </w:p>
        </w:tc>
        <w:tc>
          <w:tcPr>
            <w:tcW w:w="104" w:type="dxa"/>
            <w:tcBorders>
              <w:top w:val="nil"/>
              <w:left w:val="nil"/>
              <w:bottom w:val="nil"/>
              <w:right w:val="nil"/>
            </w:tcBorders>
            <w:tcMar>
              <w:top w:w="30" w:type="dxa"/>
              <w:left w:w="60" w:type="dxa"/>
              <w:bottom w:w="30" w:type="dxa"/>
              <w:right w:w="60" w:type="dxa"/>
            </w:tcMar>
          </w:tcPr>
          <w:p w14:paraId="3852CF53" w14:textId="77777777" w:rsidR="004C7857" w:rsidRDefault="004C7857">
            <w:pPr>
              <w:spacing w:line="240" w:lineRule="auto"/>
              <w:jc w:val="center"/>
              <w:rPr>
                <w:rFonts w:ascii="Times New Roman" w:eastAsia="Times New Roman" w:hAnsi="Times New Roman" w:cs="Times New Roman"/>
              </w:rPr>
            </w:pPr>
          </w:p>
        </w:tc>
      </w:tr>
      <w:tr w:rsidR="004C7857" w14:paraId="54670CD2" w14:textId="77777777">
        <w:tc>
          <w:tcPr>
            <w:tcW w:w="6210" w:type="dxa"/>
            <w:tcBorders>
              <w:top w:val="nil"/>
              <w:left w:val="nil"/>
              <w:bottom w:val="nil"/>
              <w:right w:val="nil"/>
            </w:tcBorders>
            <w:tcMar>
              <w:top w:w="30" w:type="dxa"/>
              <w:left w:w="60" w:type="dxa"/>
              <w:bottom w:w="30" w:type="dxa"/>
              <w:right w:w="60" w:type="dxa"/>
            </w:tcMar>
          </w:tcPr>
          <w:p w14:paraId="7EEDC684"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English</w:t>
            </w:r>
          </w:p>
        </w:tc>
        <w:tc>
          <w:tcPr>
            <w:tcW w:w="1530" w:type="dxa"/>
            <w:tcBorders>
              <w:top w:val="nil"/>
              <w:left w:val="nil"/>
              <w:bottom w:val="nil"/>
              <w:right w:val="nil"/>
            </w:tcBorders>
            <w:tcMar>
              <w:top w:w="30" w:type="dxa"/>
              <w:left w:w="60" w:type="dxa"/>
              <w:bottom w:w="30" w:type="dxa"/>
              <w:right w:w="60" w:type="dxa"/>
            </w:tcMar>
          </w:tcPr>
          <w:p w14:paraId="02E59F15"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0.001</w:t>
            </w:r>
          </w:p>
        </w:tc>
        <w:tc>
          <w:tcPr>
            <w:tcW w:w="1185" w:type="dxa"/>
            <w:tcBorders>
              <w:top w:val="nil"/>
              <w:left w:val="nil"/>
              <w:bottom w:val="nil"/>
              <w:right w:val="nil"/>
            </w:tcBorders>
            <w:tcMar>
              <w:top w:w="30" w:type="dxa"/>
              <w:left w:w="60" w:type="dxa"/>
              <w:bottom w:w="30" w:type="dxa"/>
              <w:right w:w="60" w:type="dxa"/>
            </w:tcMar>
          </w:tcPr>
          <w:p w14:paraId="3E14961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104" w:type="dxa"/>
            <w:tcBorders>
              <w:top w:val="nil"/>
              <w:left w:val="nil"/>
              <w:bottom w:val="nil"/>
              <w:right w:val="nil"/>
            </w:tcBorders>
            <w:tcMar>
              <w:top w:w="30" w:type="dxa"/>
              <w:left w:w="60" w:type="dxa"/>
              <w:bottom w:w="30" w:type="dxa"/>
              <w:right w:w="60" w:type="dxa"/>
            </w:tcMar>
          </w:tcPr>
          <w:p w14:paraId="36CF93D4" w14:textId="77777777" w:rsidR="004C7857" w:rsidRDefault="004C7857">
            <w:pPr>
              <w:spacing w:line="240" w:lineRule="auto"/>
              <w:jc w:val="center"/>
              <w:rPr>
                <w:rFonts w:ascii="Times New Roman" w:eastAsia="Times New Roman" w:hAnsi="Times New Roman" w:cs="Times New Roman"/>
              </w:rPr>
            </w:pPr>
          </w:p>
        </w:tc>
      </w:tr>
      <w:tr w:rsidR="004C7857" w14:paraId="0C09830E" w14:textId="77777777">
        <w:tc>
          <w:tcPr>
            <w:tcW w:w="6210" w:type="dxa"/>
            <w:tcBorders>
              <w:top w:val="nil"/>
              <w:left w:val="nil"/>
              <w:bottom w:val="nil"/>
              <w:right w:val="nil"/>
            </w:tcBorders>
            <w:tcMar>
              <w:top w:w="30" w:type="dxa"/>
              <w:left w:w="60" w:type="dxa"/>
              <w:bottom w:w="30" w:type="dxa"/>
              <w:right w:w="60" w:type="dxa"/>
            </w:tcMar>
          </w:tcPr>
          <w:p w14:paraId="1063C835"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Other</w:t>
            </w:r>
          </w:p>
        </w:tc>
        <w:tc>
          <w:tcPr>
            <w:tcW w:w="1530" w:type="dxa"/>
            <w:tcBorders>
              <w:top w:val="nil"/>
              <w:left w:val="nil"/>
              <w:bottom w:val="nil"/>
              <w:right w:val="nil"/>
            </w:tcBorders>
            <w:tcMar>
              <w:top w:w="30" w:type="dxa"/>
              <w:left w:w="60" w:type="dxa"/>
              <w:bottom w:w="30" w:type="dxa"/>
              <w:right w:w="60" w:type="dxa"/>
            </w:tcMar>
          </w:tcPr>
          <w:p w14:paraId="5F044CA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1185" w:type="dxa"/>
            <w:tcBorders>
              <w:top w:val="nil"/>
              <w:left w:val="nil"/>
              <w:bottom w:val="nil"/>
              <w:right w:val="nil"/>
            </w:tcBorders>
            <w:tcMar>
              <w:top w:w="30" w:type="dxa"/>
              <w:left w:w="60" w:type="dxa"/>
              <w:bottom w:w="30" w:type="dxa"/>
              <w:right w:w="60" w:type="dxa"/>
            </w:tcMar>
          </w:tcPr>
          <w:p w14:paraId="42FD93B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104" w:type="dxa"/>
            <w:tcBorders>
              <w:top w:val="nil"/>
              <w:left w:val="nil"/>
              <w:bottom w:val="nil"/>
              <w:right w:val="nil"/>
            </w:tcBorders>
            <w:tcMar>
              <w:top w:w="30" w:type="dxa"/>
              <w:left w:w="60" w:type="dxa"/>
              <w:bottom w:w="30" w:type="dxa"/>
              <w:right w:w="60" w:type="dxa"/>
            </w:tcMar>
          </w:tcPr>
          <w:p w14:paraId="151970CF" w14:textId="77777777" w:rsidR="004C7857" w:rsidRDefault="004C7857">
            <w:pPr>
              <w:spacing w:line="240" w:lineRule="auto"/>
              <w:jc w:val="center"/>
              <w:rPr>
                <w:rFonts w:ascii="Times New Roman" w:eastAsia="Times New Roman" w:hAnsi="Times New Roman" w:cs="Times New Roman"/>
              </w:rPr>
            </w:pPr>
          </w:p>
        </w:tc>
      </w:tr>
      <w:tr w:rsidR="004C7857" w14:paraId="0A22E83C" w14:textId="77777777">
        <w:tc>
          <w:tcPr>
            <w:tcW w:w="6210" w:type="dxa"/>
            <w:tcBorders>
              <w:top w:val="nil"/>
              <w:left w:val="nil"/>
              <w:bottom w:val="nil"/>
              <w:right w:val="nil"/>
            </w:tcBorders>
            <w:tcMar>
              <w:top w:w="30" w:type="dxa"/>
              <w:left w:w="60" w:type="dxa"/>
              <w:bottom w:w="30" w:type="dxa"/>
              <w:right w:w="60" w:type="dxa"/>
            </w:tcMar>
          </w:tcPr>
          <w:p w14:paraId="63F558FF"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Family socioeconomic status:</w:t>
            </w:r>
          </w:p>
        </w:tc>
        <w:tc>
          <w:tcPr>
            <w:tcW w:w="1530" w:type="dxa"/>
            <w:tcBorders>
              <w:top w:val="nil"/>
              <w:left w:val="nil"/>
              <w:bottom w:val="nil"/>
              <w:right w:val="nil"/>
            </w:tcBorders>
            <w:tcMar>
              <w:top w:w="30" w:type="dxa"/>
              <w:left w:w="60" w:type="dxa"/>
              <w:bottom w:w="30" w:type="dxa"/>
              <w:right w:w="60" w:type="dxa"/>
            </w:tcMar>
          </w:tcPr>
          <w:p w14:paraId="56640F38" w14:textId="77777777" w:rsidR="004C7857" w:rsidRDefault="004C7857">
            <w:pPr>
              <w:spacing w:line="240" w:lineRule="auto"/>
              <w:jc w:val="center"/>
              <w:rPr>
                <w:rFonts w:ascii="Times New Roman" w:eastAsia="Times New Roman" w:hAnsi="Times New Roman" w:cs="Times New Roman"/>
              </w:rPr>
            </w:pPr>
          </w:p>
        </w:tc>
        <w:tc>
          <w:tcPr>
            <w:tcW w:w="1185" w:type="dxa"/>
            <w:tcBorders>
              <w:top w:val="nil"/>
              <w:left w:val="nil"/>
              <w:bottom w:val="nil"/>
              <w:right w:val="nil"/>
            </w:tcBorders>
            <w:tcMar>
              <w:top w:w="30" w:type="dxa"/>
              <w:left w:w="60" w:type="dxa"/>
              <w:bottom w:w="30" w:type="dxa"/>
              <w:right w:w="60" w:type="dxa"/>
            </w:tcMar>
          </w:tcPr>
          <w:p w14:paraId="57A8B65A" w14:textId="77777777" w:rsidR="004C7857" w:rsidRDefault="004C7857">
            <w:pPr>
              <w:spacing w:line="240" w:lineRule="auto"/>
              <w:jc w:val="center"/>
              <w:rPr>
                <w:rFonts w:ascii="Times New Roman" w:eastAsia="Times New Roman" w:hAnsi="Times New Roman" w:cs="Times New Roman"/>
              </w:rPr>
            </w:pPr>
          </w:p>
        </w:tc>
        <w:tc>
          <w:tcPr>
            <w:tcW w:w="104" w:type="dxa"/>
            <w:tcBorders>
              <w:top w:val="nil"/>
              <w:left w:val="nil"/>
              <w:bottom w:val="nil"/>
              <w:right w:val="nil"/>
            </w:tcBorders>
            <w:tcMar>
              <w:top w:w="30" w:type="dxa"/>
              <w:left w:w="60" w:type="dxa"/>
              <w:bottom w:w="30" w:type="dxa"/>
              <w:right w:w="60" w:type="dxa"/>
            </w:tcMar>
          </w:tcPr>
          <w:p w14:paraId="7E6880D2" w14:textId="77777777" w:rsidR="004C7857" w:rsidRDefault="004C7857">
            <w:pPr>
              <w:spacing w:line="240" w:lineRule="auto"/>
              <w:jc w:val="center"/>
              <w:rPr>
                <w:rFonts w:ascii="Times New Roman" w:eastAsia="Times New Roman" w:hAnsi="Times New Roman" w:cs="Times New Roman"/>
              </w:rPr>
            </w:pPr>
          </w:p>
        </w:tc>
      </w:tr>
      <w:tr w:rsidR="004C7857" w14:paraId="5CFF3558" w14:textId="77777777">
        <w:tc>
          <w:tcPr>
            <w:tcW w:w="6210" w:type="dxa"/>
            <w:tcBorders>
              <w:top w:val="nil"/>
              <w:left w:val="nil"/>
              <w:bottom w:val="nil"/>
              <w:right w:val="nil"/>
            </w:tcBorders>
            <w:tcMar>
              <w:top w:w="30" w:type="dxa"/>
              <w:left w:w="60" w:type="dxa"/>
              <w:bottom w:w="30" w:type="dxa"/>
              <w:right w:w="60" w:type="dxa"/>
            </w:tcMar>
          </w:tcPr>
          <w:p w14:paraId="783407A8"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Has high-speed internet access at home</w:t>
            </w:r>
          </w:p>
        </w:tc>
        <w:tc>
          <w:tcPr>
            <w:tcW w:w="1530" w:type="dxa"/>
            <w:tcBorders>
              <w:top w:val="nil"/>
              <w:left w:val="nil"/>
              <w:bottom w:val="nil"/>
              <w:right w:val="nil"/>
            </w:tcBorders>
            <w:tcMar>
              <w:top w:w="30" w:type="dxa"/>
              <w:left w:w="60" w:type="dxa"/>
              <w:bottom w:w="30" w:type="dxa"/>
              <w:right w:w="60" w:type="dxa"/>
            </w:tcMar>
          </w:tcPr>
          <w:p w14:paraId="7F16AB4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0.88</w:t>
            </w:r>
          </w:p>
        </w:tc>
        <w:tc>
          <w:tcPr>
            <w:tcW w:w="1185" w:type="dxa"/>
            <w:tcBorders>
              <w:top w:val="nil"/>
              <w:left w:val="nil"/>
              <w:bottom w:val="nil"/>
              <w:right w:val="nil"/>
            </w:tcBorders>
            <w:tcMar>
              <w:top w:w="30" w:type="dxa"/>
              <w:left w:w="60" w:type="dxa"/>
              <w:bottom w:w="30" w:type="dxa"/>
              <w:right w:w="60" w:type="dxa"/>
            </w:tcMar>
          </w:tcPr>
          <w:p w14:paraId="23B55DF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(0.33)</w:t>
            </w:r>
          </w:p>
        </w:tc>
        <w:tc>
          <w:tcPr>
            <w:tcW w:w="104" w:type="dxa"/>
            <w:tcBorders>
              <w:top w:val="nil"/>
              <w:left w:val="nil"/>
              <w:bottom w:val="nil"/>
              <w:right w:val="nil"/>
            </w:tcBorders>
            <w:tcMar>
              <w:top w:w="30" w:type="dxa"/>
              <w:left w:w="60" w:type="dxa"/>
              <w:bottom w:w="30" w:type="dxa"/>
              <w:right w:w="60" w:type="dxa"/>
            </w:tcMar>
          </w:tcPr>
          <w:p w14:paraId="7FE3B0B6" w14:textId="77777777" w:rsidR="004C7857" w:rsidRDefault="004C7857">
            <w:pPr>
              <w:spacing w:line="240" w:lineRule="auto"/>
              <w:jc w:val="center"/>
              <w:rPr>
                <w:rFonts w:ascii="Times New Roman" w:eastAsia="Times New Roman" w:hAnsi="Times New Roman" w:cs="Times New Roman"/>
              </w:rPr>
            </w:pPr>
          </w:p>
        </w:tc>
      </w:tr>
      <w:tr w:rsidR="004C7857" w14:paraId="7F51BFDF" w14:textId="77777777">
        <w:tc>
          <w:tcPr>
            <w:tcW w:w="6210" w:type="dxa"/>
            <w:tcBorders>
              <w:top w:val="nil"/>
              <w:left w:val="nil"/>
              <w:bottom w:val="nil"/>
              <w:right w:val="nil"/>
            </w:tcBorders>
            <w:tcMar>
              <w:top w:w="30" w:type="dxa"/>
              <w:left w:w="60" w:type="dxa"/>
              <w:bottom w:w="30" w:type="dxa"/>
              <w:right w:w="60" w:type="dxa"/>
            </w:tcMar>
          </w:tcPr>
          <w:p w14:paraId="45AE5B4B"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Has smartphone only (no PC / laptop / tablet)</w:t>
            </w:r>
          </w:p>
        </w:tc>
        <w:tc>
          <w:tcPr>
            <w:tcW w:w="1530" w:type="dxa"/>
            <w:tcBorders>
              <w:top w:val="nil"/>
              <w:left w:val="nil"/>
              <w:bottom w:val="nil"/>
              <w:right w:val="nil"/>
            </w:tcBorders>
            <w:tcMar>
              <w:top w:w="30" w:type="dxa"/>
              <w:left w:w="60" w:type="dxa"/>
              <w:bottom w:w="30" w:type="dxa"/>
              <w:right w:w="60" w:type="dxa"/>
            </w:tcMar>
          </w:tcPr>
          <w:p w14:paraId="4CF11C6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0.54</w:t>
            </w:r>
          </w:p>
        </w:tc>
        <w:tc>
          <w:tcPr>
            <w:tcW w:w="1185" w:type="dxa"/>
            <w:tcBorders>
              <w:top w:val="nil"/>
              <w:left w:val="nil"/>
              <w:bottom w:val="nil"/>
              <w:right w:val="nil"/>
            </w:tcBorders>
            <w:tcMar>
              <w:top w:w="30" w:type="dxa"/>
              <w:left w:w="60" w:type="dxa"/>
              <w:bottom w:w="30" w:type="dxa"/>
              <w:right w:w="60" w:type="dxa"/>
            </w:tcMar>
          </w:tcPr>
          <w:p w14:paraId="58DC1C59"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(0.50)</w:t>
            </w:r>
          </w:p>
        </w:tc>
        <w:tc>
          <w:tcPr>
            <w:tcW w:w="104" w:type="dxa"/>
            <w:tcBorders>
              <w:top w:val="nil"/>
              <w:left w:val="nil"/>
              <w:bottom w:val="nil"/>
              <w:right w:val="nil"/>
            </w:tcBorders>
            <w:tcMar>
              <w:top w:w="30" w:type="dxa"/>
              <w:left w:w="60" w:type="dxa"/>
              <w:bottom w:w="30" w:type="dxa"/>
              <w:right w:w="60" w:type="dxa"/>
            </w:tcMar>
          </w:tcPr>
          <w:p w14:paraId="0F385641" w14:textId="77777777" w:rsidR="004C7857" w:rsidRDefault="004C7857">
            <w:pPr>
              <w:spacing w:line="240" w:lineRule="auto"/>
              <w:jc w:val="center"/>
              <w:rPr>
                <w:rFonts w:ascii="Times New Roman" w:eastAsia="Times New Roman" w:hAnsi="Times New Roman" w:cs="Times New Roman"/>
              </w:rPr>
            </w:pPr>
          </w:p>
        </w:tc>
      </w:tr>
      <w:tr w:rsidR="004C7857" w14:paraId="5F8B86A3" w14:textId="77777777">
        <w:tc>
          <w:tcPr>
            <w:tcW w:w="6210" w:type="dxa"/>
            <w:tcBorders>
              <w:top w:val="nil"/>
              <w:left w:val="nil"/>
              <w:bottom w:val="nil"/>
              <w:right w:val="nil"/>
            </w:tcBorders>
            <w:tcMar>
              <w:top w:w="30" w:type="dxa"/>
              <w:left w:w="60" w:type="dxa"/>
              <w:bottom w:w="30" w:type="dxa"/>
              <w:right w:w="60" w:type="dxa"/>
            </w:tcMar>
          </w:tcPr>
          <w:p w14:paraId="7E3ABA0E"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Has PC / laptop / tablet</w:t>
            </w:r>
          </w:p>
        </w:tc>
        <w:tc>
          <w:tcPr>
            <w:tcW w:w="1530" w:type="dxa"/>
            <w:tcBorders>
              <w:top w:val="nil"/>
              <w:left w:val="nil"/>
              <w:bottom w:val="nil"/>
              <w:right w:val="nil"/>
            </w:tcBorders>
            <w:tcMar>
              <w:top w:w="30" w:type="dxa"/>
              <w:left w:w="60" w:type="dxa"/>
              <w:bottom w:w="30" w:type="dxa"/>
              <w:right w:w="60" w:type="dxa"/>
            </w:tcMar>
          </w:tcPr>
          <w:p w14:paraId="2E00A898"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0.34</w:t>
            </w:r>
          </w:p>
        </w:tc>
        <w:tc>
          <w:tcPr>
            <w:tcW w:w="1185" w:type="dxa"/>
            <w:tcBorders>
              <w:top w:val="nil"/>
              <w:left w:val="nil"/>
              <w:bottom w:val="nil"/>
              <w:right w:val="nil"/>
            </w:tcBorders>
            <w:tcMar>
              <w:top w:w="30" w:type="dxa"/>
              <w:left w:w="60" w:type="dxa"/>
              <w:bottom w:w="30" w:type="dxa"/>
              <w:right w:w="60" w:type="dxa"/>
            </w:tcMar>
          </w:tcPr>
          <w:p w14:paraId="6A508C48"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(0.48)</w:t>
            </w:r>
          </w:p>
        </w:tc>
        <w:tc>
          <w:tcPr>
            <w:tcW w:w="104" w:type="dxa"/>
            <w:tcBorders>
              <w:top w:val="nil"/>
              <w:left w:val="nil"/>
              <w:bottom w:val="nil"/>
              <w:right w:val="nil"/>
            </w:tcBorders>
            <w:tcMar>
              <w:top w:w="30" w:type="dxa"/>
              <w:left w:w="60" w:type="dxa"/>
              <w:bottom w:w="30" w:type="dxa"/>
              <w:right w:w="60" w:type="dxa"/>
            </w:tcMar>
          </w:tcPr>
          <w:p w14:paraId="2F22A7C9" w14:textId="77777777" w:rsidR="004C7857" w:rsidRDefault="004C7857">
            <w:pPr>
              <w:spacing w:line="240" w:lineRule="auto"/>
              <w:jc w:val="center"/>
              <w:rPr>
                <w:rFonts w:ascii="Times New Roman" w:eastAsia="Times New Roman" w:hAnsi="Times New Roman" w:cs="Times New Roman"/>
              </w:rPr>
            </w:pPr>
          </w:p>
        </w:tc>
      </w:tr>
      <w:tr w:rsidR="004C7857" w14:paraId="4DB6588D" w14:textId="77777777">
        <w:tc>
          <w:tcPr>
            <w:tcW w:w="6210" w:type="dxa"/>
            <w:tcBorders>
              <w:top w:val="nil"/>
              <w:left w:val="nil"/>
              <w:bottom w:val="nil"/>
              <w:right w:val="nil"/>
            </w:tcBorders>
            <w:tcMar>
              <w:top w:w="30" w:type="dxa"/>
              <w:left w:w="60" w:type="dxa"/>
              <w:bottom w:w="30" w:type="dxa"/>
              <w:right w:w="60" w:type="dxa"/>
            </w:tcMar>
          </w:tcPr>
          <w:p w14:paraId="06B8F309"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Family receives government financial assistance</w:t>
            </w:r>
          </w:p>
        </w:tc>
        <w:tc>
          <w:tcPr>
            <w:tcW w:w="1530" w:type="dxa"/>
            <w:tcBorders>
              <w:top w:val="nil"/>
              <w:left w:val="nil"/>
              <w:bottom w:val="nil"/>
              <w:right w:val="nil"/>
            </w:tcBorders>
            <w:tcMar>
              <w:top w:w="30" w:type="dxa"/>
              <w:left w:w="60" w:type="dxa"/>
              <w:bottom w:w="30" w:type="dxa"/>
              <w:right w:w="60" w:type="dxa"/>
            </w:tcMar>
          </w:tcPr>
          <w:p w14:paraId="00504F41"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1185" w:type="dxa"/>
            <w:tcBorders>
              <w:top w:val="nil"/>
              <w:left w:val="nil"/>
              <w:bottom w:val="nil"/>
              <w:right w:val="nil"/>
            </w:tcBorders>
            <w:tcMar>
              <w:top w:w="30" w:type="dxa"/>
              <w:left w:w="60" w:type="dxa"/>
              <w:bottom w:w="30" w:type="dxa"/>
              <w:right w:w="60" w:type="dxa"/>
            </w:tcMar>
          </w:tcPr>
          <w:p w14:paraId="23FD1FD2"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(0.15)</w:t>
            </w:r>
          </w:p>
        </w:tc>
        <w:tc>
          <w:tcPr>
            <w:tcW w:w="104" w:type="dxa"/>
            <w:tcBorders>
              <w:top w:val="nil"/>
              <w:left w:val="nil"/>
              <w:bottom w:val="nil"/>
              <w:right w:val="nil"/>
            </w:tcBorders>
            <w:tcMar>
              <w:top w:w="30" w:type="dxa"/>
              <w:left w:w="60" w:type="dxa"/>
              <w:bottom w:w="30" w:type="dxa"/>
              <w:right w:w="60" w:type="dxa"/>
            </w:tcMar>
          </w:tcPr>
          <w:p w14:paraId="40BA7F67" w14:textId="77777777" w:rsidR="004C7857" w:rsidRDefault="004C7857">
            <w:pPr>
              <w:spacing w:line="240" w:lineRule="auto"/>
              <w:jc w:val="center"/>
              <w:rPr>
                <w:rFonts w:ascii="Times New Roman" w:eastAsia="Times New Roman" w:hAnsi="Times New Roman" w:cs="Times New Roman"/>
              </w:rPr>
            </w:pPr>
          </w:p>
        </w:tc>
      </w:tr>
      <w:tr w:rsidR="004C7857" w14:paraId="3C8BE9B6" w14:textId="77777777">
        <w:tc>
          <w:tcPr>
            <w:tcW w:w="6210" w:type="dxa"/>
            <w:tcBorders>
              <w:top w:val="nil"/>
              <w:left w:val="nil"/>
              <w:bottom w:val="nil"/>
              <w:right w:val="nil"/>
            </w:tcBorders>
            <w:tcMar>
              <w:top w:w="30" w:type="dxa"/>
              <w:left w:w="60" w:type="dxa"/>
              <w:bottom w:w="30" w:type="dxa"/>
              <w:right w:w="60" w:type="dxa"/>
            </w:tcMar>
          </w:tcPr>
          <w:p w14:paraId="676FF3A9"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Orphan</w:t>
            </w:r>
          </w:p>
        </w:tc>
        <w:tc>
          <w:tcPr>
            <w:tcW w:w="1530" w:type="dxa"/>
            <w:tcBorders>
              <w:top w:val="nil"/>
              <w:left w:val="nil"/>
              <w:bottom w:val="nil"/>
              <w:right w:val="nil"/>
            </w:tcBorders>
            <w:tcMar>
              <w:top w:w="30" w:type="dxa"/>
              <w:left w:w="60" w:type="dxa"/>
              <w:bottom w:w="30" w:type="dxa"/>
              <w:right w:w="60" w:type="dxa"/>
            </w:tcMar>
          </w:tcPr>
          <w:p w14:paraId="4CE37D73"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0.002</w:t>
            </w:r>
          </w:p>
        </w:tc>
        <w:tc>
          <w:tcPr>
            <w:tcW w:w="1185" w:type="dxa"/>
            <w:tcBorders>
              <w:top w:val="nil"/>
              <w:left w:val="nil"/>
              <w:bottom w:val="nil"/>
              <w:right w:val="nil"/>
            </w:tcBorders>
            <w:tcMar>
              <w:top w:w="30" w:type="dxa"/>
              <w:left w:w="60" w:type="dxa"/>
              <w:bottom w:w="30" w:type="dxa"/>
              <w:right w:w="60" w:type="dxa"/>
            </w:tcMar>
          </w:tcPr>
          <w:p w14:paraId="4E508390"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04" w:type="dxa"/>
            <w:tcBorders>
              <w:top w:val="nil"/>
              <w:left w:val="nil"/>
              <w:bottom w:val="nil"/>
              <w:right w:val="nil"/>
            </w:tcBorders>
            <w:tcMar>
              <w:top w:w="30" w:type="dxa"/>
              <w:left w:w="60" w:type="dxa"/>
              <w:bottom w:w="30" w:type="dxa"/>
              <w:right w:w="60" w:type="dxa"/>
            </w:tcMar>
          </w:tcPr>
          <w:p w14:paraId="01D3FC8A" w14:textId="77777777" w:rsidR="004C7857" w:rsidRDefault="004C7857">
            <w:pPr>
              <w:spacing w:line="240" w:lineRule="auto"/>
              <w:jc w:val="center"/>
              <w:rPr>
                <w:rFonts w:ascii="Times New Roman" w:eastAsia="Times New Roman" w:hAnsi="Times New Roman" w:cs="Times New Roman"/>
              </w:rPr>
            </w:pPr>
          </w:p>
        </w:tc>
      </w:tr>
      <w:tr w:rsidR="004C7857" w14:paraId="092C158B" w14:textId="77777777">
        <w:tc>
          <w:tcPr>
            <w:tcW w:w="6210" w:type="dxa"/>
            <w:tcBorders>
              <w:top w:val="nil"/>
              <w:left w:val="nil"/>
              <w:bottom w:val="nil"/>
              <w:right w:val="nil"/>
            </w:tcBorders>
            <w:tcMar>
              <w:top w:w="30" w:type="dxa"/>
              <w:left w:w="60" w:type="dxa"/>
              <w:bottom w:w="30" w:type="dxa"/>
              <w:right w:w="60" w:type="dxa"/>
            </w:tcMar>
          </w:tcPr>
          <w:p w14:paraId="5E91D212"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School characteristics:</w:t>
            </w:r>
          </w:p>
        </w:tc>
        <w:tc>
          <w:tcPr>
            <w:tcW w:w="1530" w:type="dxa"/>
            <w:tcBorders>
              <w:top w:val="nil"/>
              <w:left w:val="nil"/>
              <w:bottom w:val="nil"/>
              <w:right w:val="nil"/>
            </w:tcBorders>
            <w:tcMar>
              <w:top w:w="30" w:type="dxa"/>
              <w:left w:w="60" w:type="dxa"/>
              <w:bottom w:w="30" w:type="dxa"/>
              <w:right w:w="60" w:type="dxa"/>
            </w:tcMar>
          </w:tcPr>
          <w:p w14:paraId="1B34DD0D" w14:textId="77777777" w:rsidR="004C7857" w:rsidRDefault="004C7857">
            <w:pPr>
              <w:spacing w:line="240" w:lineRule="auto"/>
              <w:jc w:val="center"/>
              <w:rPr>
                <w:rFonts w:ascii="Times New Roman" w:eastAsia="Times New Roman" w:hAnsi="Times New Roman" w:cs="Times New Roman"/>
              </w:rPr>
            </w:pPr>
          </w:p>
        </w:tc>
        <w:tc>
          <w:tcPr>
            <w:tcW w:w="1185" w:type="dxa"/>
            <w:tcBorders>
              <w:top w:val="nil"/>
              <w:left w:val="nil"/>
              <w:bottom w:val="nil"/>
              <w:right w:val="nil"/>
            </w:tcBorders>
            <w:tcMar>
              <w:top w:w="30" w:type="dxa"/>
              <w:left w:w="60" w:type="dxa"/>
              <w:bottom w:w="30" w:type="dxa"/>
              <w:right w:w="60" w:type="dxa"/>
            </w:tcMar>
          </w:tcPr>
          <w:p w14:paraId="5610ED66" w14:textId="77777777" w:rsidR="004C7857" w:rsidRDefault="004C7857">
            <w:pPr>
              <w:spacing w:line="240" w:lineRule="auto"/>
              <w:jc w:val="center"/>
              <w:rPr>
                <w:rFonts w:ascii="Times New Roman" w:eastAsia="Times New Roman" w:hAnsi="Times New Roman" w:cs="Times New Roman"/>
              </w:rPr>
            </w:pPr>
          </w:p>
        </w:tc>
        <w:tc>
          <w:tcPr>
            <w:tcW w:w="104" w:type="dxa"/>
            <w:tcBorders>
              <w:top w:val="nil"/>
              <w:left w:val="nil"/>
              <w:bottom w:val="nil"/>
              <w:right w:val="nil"/>
            </w:tcBorders>
            <w:tcMar>
              <w:top w:w="30" w:type="dxa"/>
              <w:left w:w="60" w:type="dxa"/>
              <w:bottom w:w="30" w:type="dxa"/>
              <w:right w:w="60" w:type="dxa"/>
            </w:tcMar>
          </w:tcPr>
          <w:p w14:paraId="62704C4D" w14:textId="77777777" w:rsidR="004C7857" w:rsidRDefault="004C7857">
            <w:pPr>
              <w:spacing w:line="240" w:lineRule="auto"/>
              <w:jc w:val="center"/>
              <w:rPr>
                <w:rFonts w:ascii="Times New Roman" w:eastAsia="Times New Roman" w:hAnsi="Times New Roman" w:cs="Times New Roman"/>
              </w:rPr>
            </w:pPr>
          </w:p>
        </w:tc>
      </w:tr>
      <w:tr w:rsidR="004C7857" w14:paraId="4C72BD53" w14:textId="77777777">
        <w:tc>
          <w:tcPr>
            <w:tcW w:w="6210" w:type="dxa"/>
            <w:tcBorders>
              <w:top w:val="nil"/>
              <w:left w:val="nil"/>
              <w:bottom w:val="nil"/>
              <w:right w:val="nil"/>
            </w:tcBorders>
            <w:tcMar>
              <w:top w:w="30" w:type="dxa"/>
              <w:left w:w="60" w:type="dxa"/>
              <w:bottom w:w="30" w:type="dxa"/>
              <w:right w:w="60" w:type="dxa"/>
            </w:tcMar>
          </w:tcPr>
          <w:p w14:paraId="7B433ABA"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Teacher quality index</w:t>
            </w:r>
          </w:p>
        </w:tc>
        <w:tc>
          <w:tcPr>
            <w:tcW w:w="1530" w:type="dxa"/>
            <w:tcBorders>
              <w:top w:val="nil"/>
              <w:left w:val="nil"/>
              <w:bottom w:val="nil"/>
              <w:right w:val="nil"/>
            </w:tcBorders>
            <w:tcMar>
              <w:top w:w="30" w:type="dxa"/>
              <w:left w:w="60" w:type="dxa"/>
              <w:bottom w:w="30" w:type="dxa"/>
              <w:right w:w="60" w:type="dxa"/>
            </w:tcMar>
          </w:tcPr>
          <w:p w14:paraId="5D30EB7A"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185" w:type="dxa"/>
            <w:tcBorders>
              <w:top w:val="nil"/>
              <w:left w:val="nil"/>
              <w:bottom w:val="nil"/>
              <w:right w:val="nil"/>
            </w:tcBorders>
            <w:tcMar>
              <w:top w:w="30" w:type="dxa"/>
              <w:left w:w="60" w:type="dxa"/>
              <w:bottom w:w="30" w:type="dxa"/>
              <w:right w:w="60" w:type="dxa"/>
            </w:tcMar>
          </w:tcPr>
          <w:p w14:paraId="38C6958A"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104" w:type="dxa"/>
            <w:tcBorders>
              <w:top w:val="nil"/>
              <w:left w:val="nil"/>
              <w:bottom w:val="nil"/>
              <w:right w:val="nil"/>
            </w:tcBorders>
            <w:tcMar>
              <w:top w:w="30" w:type="dxa"/>
              <w:left w:w="60" w:type="dxa"/>
              <w:bottom w:w="30" w:type="dxa"/>
              <w:right w:w="60" w:type="dxa"/>
            </w:tcMar>
          </w:tcPr>
          <w:p w14:paraId="3563B064" w14:textId="77777777" w:rsidR="004C7857" w:rsidRDefault="004C7857">
            <w:pPr>
              <w:spacing w:line="240" w:lineRule="auto"/>
              <w:jc w:val="center"/>
              <w:rPr>
                <w:rFonts w:ascii="Times New Roman" w:eastAsia="Times New Roman" w:hAnsi="Times New Roman" w:cs="Times New Roman"/>
              </w:rPr>
            </w:pPr>
          </w:p>
        </w:tc>
      </w:tr>
      <w:tr w:rsidR="004C7857" w14:paraId="2A41E799" w14:textId="77777777">
        <w:tc>
          <w:tcPr>
            <w:tcW w:w="6210" w:type="dxa"/>
            <w:tcBorders>
              <w:top w:val="nil"/>
              <w:left w:val="nil"/>
              <w:bottom w:val="nil"/>
              <w:right w:val="nil"/>
            </w:tcBorders>
            <w:tcMar>
              <w:top w:w="30" w:type="dxa"/>
              <w:left w:w="60" w:type="dxa"/>
              <w:bottom w:w="30" w:type="dxa"/>
              <w:right w:w="60" w:type="dxa"/>
            </w:tcMar>
          </w:tcPr>
          <w:p w14:paraId="68D6008D"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Average number of students per classroom</w:t>
            </w:r>
          </w:p>
        </w:tc>
        <w:tc>
          <w:tcPr>
            <w:tcW w:w="1530" w:type="dxa"/>
            <w:tcBorders>
              <w:top w:val="nil"/>
              <w:left w:val="nil"/>
              <w:bottom w:val="nil"/>
              <w:right w:val="nil"/>
            </w:tcBorders>
            <w:tcMar>
              <w:top w:w="30" w:type="dxa"/>
              <w:left w:w="60" w:type="dxa"/>
              <w:bottom w:w="30" w:type="dxa"/>
              <w:right w:w="60" w:type="dxa"/>
            </w:tcMar>
          </w:tcPr>
          <w:p w14:paraId="74E01489"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185" w:type="dxa"/>
            <w:tcBorders>
              <w:top w:val="nil"/>
              <w:left w:val="nil"/>
              <w:bottom w:val="nil"/>
              <w:right w:val="nil"/>
            </w:tcBorders>
            <w:tcMar>
              <w:top w:w="30" w:type="dxa"/>
              <w:left w:w="60" w:type="dxa"/>
              <w:bottom w:w="30" w:type="dxa"/>
              <w:right w:w="60" w:type="dxa"/>
            </w:tcMar>
          </w:tcPr>
          <w:p w14:paraId="5380BA83"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104" w:type="dxa"/>
            <w:tcBorders>
              <w:top w:val="nil"/>
              <w:left w:val="nil"/>
              <w:bottom w:val="nil"/>
              <w:right w:val="nil"/>
            </w:tcBorders>
            <w:tcMar>
              <w:top w:w="30" w:type="dxa"/>
              <w:left w:w="60" w:type="dxa"/>
              <w:bottom w:w="30" w:type="dxa"/>
              <w:right w:w="60" w:type="dxa"/>
            </w:tcMar>
          </w:tcPr>
          <w:p w14:paraId="0C801F6A" w14:textId="77777777" w:rsidR="004C7857" w:rsidRDefault="004C7857">
            <w:pPr>
              <w:spacing w:line="240" w:lineRule="auto"/>
              <w:jc w:val="center"/>
              <w:rPr>
                <w:rFonts w:ascii="Times New Roman" w:eastAsia="Times New Roman" w:hAnsi="Times New Roman" w:cs="Times New Roman"/>
              </w:rPr>
            </w:pPr>
          </w:p>
        </w:tc>
      </w:tr>
      <w:tr w:rsidR="004C7857" w14:paraId="74DABCED" w14:textId="77777777">
        <w:tc>
          <w:tcPr>
            <w:tcW w:w="6210" w:type="dxa"/>
            <w:tcBorders>
              <w:top w:val="nil"/>
              <w:left w:val="nil"/>
              <w:bottom w:val="nil"/>
              <w:right w:val="nil"/>
            </w:tcBorders>
            <w:tcMar>
              <w:top w:w="30" w:type="dxa"/>
              <w:left w:w="60" w:type="dxa"/>
              <w:bottom w:w="30" w:type="dxa"/>
              <w:right w:w="60" w:type="dxa"/>
            </w:tcMar>
          </w:tcPr>
          <w:p w14:paraId="3D5E9400"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Total students</w:t>
            </w:r>
          </w:p>
        </w:tc>
        <w:tc>
          <w:tcPr>
            <w:tcW w:w="1530" w:type="dxa"/>
            <w:tcBorders>
              <w:top w:val="nil"/>
              <w:left w:val="nil"/>
              <w:bottom w:val="nil"/>
              <w:right w:val="nil"/>
            </w:tcBorders>
            <w:tcMar>
              <w:top w:w="30" w:type="dxa"/>
              <w:left w:w="60" w:type="dxa"/>
              <w:bottom w:w="30" w:type="dxa"/>
              <w:right w:w="60" w:type="dxa"/>
            </w:tcMar>
          </w:tcPr>
          <w:p w14:paraId="70609F69"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1,177</w:t>
            </w:r>
          </w:p>
        </w:tc>
        <w:tc>
          <w:tcPr>
            <w:tcW w:w="1185" w:type="dxa"/>
            <w:tcBorders>
              <w:top w:val="nil"/>
              <w:left w:val="nil"/>
              <w:bottom w:val="nil"/>
              <w:right w:val="nil"/>
            </w:tcBorders>
            <w:tcMar>
              <w:top w:w="30" w:type="dxa"/>
              <w:left w:w="60" w:type="dxa"/>
              <w:bottom w:w="30" w:type="dxa"/>
              <w:right w:w="60" w:type="dxa"/>
            </w:tcMar>
          </w:tcPr>
          <w:p w14:paraId="45D07010"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(895)</w:t>
            </w:r>
          </w:p>
        </w:tc>
        <w:tc>
          <w:tcPr>
            <w:tcW w:w="104" w:type="dxa"/>
            <w:tcBorders>
              <w:top w:val="nil"/>
              <w:left w:val="nil"/>
              <w:bottom w:val="nil"/>
              <w:right w:val="nil"/>
            </w:tcBorders>
            <w:tcMar>
              <w:top w:w="30" w:type="dxa"/>
              <w:left w:w="60" w:type="dxa"/>
              <w:bottom w:w="30" w:type="dxa"/>
              <w:right w:w="60" w:type="dxa"/>
            </w:tcMar>
          </w:tcPr>
          <w:p w14:paraId="6867E576" w14:textId="77777777" w:rsidR="004C7857" w:rsidRDefault="004C7857">
            <w:pPr>
              <w:spacing w:line="240" w:lineRule="auto"/>
              <w:jc w:val="center"/>
              <w:rPr>
                <w:rFonts w:ascii="Times New Roman" w:eastAsia="Times New Roman" w:hAnsi="Times New Roman" w:cs="Times New Roman"/>
              </w:rPr>
            </w:pPr>
          </w:p>
        </w:tc>
      </w:tr>
      <w:tr w:rsidR="004C7857" w14:paraId="06BA5AC1" w14:textId="77777777">
        <w:tc>
          <w:tcPr>
            <w:tcW w:w="6210" w:type="dxa"/>
            <w:tcBorders>
              <w:top w:val="nil"/>
              <w:left w:val="nil"/>
              <w:bottom w:val="nil"/>
              <w:right w:val="nil"/>
            </w:tcBorders>
            <w:tcMar>
              <w:top w:w="30" w:type="dxa"/>
              <w:left w:w="60" w:type="dxa"/>
              <w:bottom w:w="30" w:type="dxa"/>
              <w:right w:w="60" w:type="dxa"/>
            </w:tcMar>
          </w:tcPr>
          <w:p w14:paraId="068EC0DE"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Total teachers</w:t>
            </w:r>
          </w:p>
        </w:tc>
        <w:tc>
          <w:tcPr>
            <w:tcW w:w="1530" w:type="dxa"/>
            <w:tcBorders>
              <w:top w:val="nil"/>
              <w:left w:val="nil"/>
              <w:bottom w:val="nil"/>
              <w:right w:val="nil"/>
            </w:tcBorders>
            <w:tcMar>
              <w:top w:w="30" w:type="dxa"/>
              <w:left w:w="60" w:type="dxa"/>
              <w:bottom w:w="30" w:type="dxa"/>
              <w:right w:w="60" w:type="dxa"/>
            </w:tcMar>
          </w:tcPr>
          <w:p w14:paraId="2D89C65D"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146</w:t>
            </w:r>
          </w:p>
        </w:tc>
        <w:tc>
          <w:tcPr>
            <w:tcW w:w="1185" w:type="dxa"/>
            <w:tcBorders>
              <w:top w:val="nil"/>
              <w:left w:val="nil"/>
              <w:bottom w:val="nil"/>
              <w:right w:val="nil"/>
            </w:tcBorders>
            <w:tcMar>
              <w:top w:w="30" w:type="dxa"/>
              <w:left w:w="60" w:type="dxa"/>
              <w:bottom w:w="30" w:type="dxa"/>
              <w:right w:w="60" w:type="dxa"/>
            </w:tcMar>
          </w:tcPr>
          <w:p w14:paraId="198B9CBA"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(77)</w:t>
            </w:r>
          </w:p>
        </w:tc>
        <w:tc>
          <w:tcPr>
            <w:tcW w:w="104" w:type="dxa"/>
            <w:tcBorders>
              <w:top w:val="nil"/>
              <w:left w:val="nil"/>
              <w:bottom w:val="nil"/>
              <w:right w:val="nil"/>
            </w:tcBorders>
            <w:tcMar>
              <w:top w:w="30" w:type="dxa"/>
              <w:left w:w="60" w:type="dxa"/>
              <w:bottom w:w="30" w:type="dxa"/>
              <w:right w:w="60" w:type="dxa"/>
            </w:tcMar>
          </w:tcPr>
          <w:p w14:paraId="1C08553A" w14:textId="77777777" w:rsidR="004C7857" w:rsidRDefault="004C7857">
            <w:pPr>
              <w:spacing w:line="240" w:lineRule="auto"/>
              <w:jc w:val="center"/>
              <w:rPr>
                <w:rFonts w:ascii="Times New Roman" w:eastAsia="Times New Roman" w:hAnsi="Times New Roman" w:cs="Times New Roman"/>
              </w:rPr>
            </w:pPr>
          </w:p>
        </w:tc>
      </w:tr>
      <w:tr w:rsidR="004C7857" w14:paraId="3D151E23" w14:textId="77777777">
        <w:tc>
          <w:tcPr>
            <w:tcW w:w="6210" w:type="dxa"/>
            <w:tcBorders>
              <w:top w:val="nil"/>
              <w:left w:val="nil"/>
              <w:bottom w:val="nil"/>
              <w:right w:val="nil"/>
            </w:tcBorders>
            <w:tcMar>
              <w:top w:w="30" w:type="dxa"/>
              <w:left w:w="60" w:type="dxa"/>
              <w:bottom w:w="30" w:type="dxa"/>
              <w:right w:w="60" w:type="dxa"/>
            </w:tcMar>
          </w:tcPr>
          <w:p w14:paraId="363858EF"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Astana/Almaty</w:t>
            </w:r>
          </w:p>
        </w:tc>
        <w:tc>
          <w:tcPr>
            <w:tcW w:w="1530" w:type="dxa"/>
            <w:tcBorders>
              <w:top w:val="nil"/>
              <w:left w:val="nil"/>
              <w:bottom w:val="nil"/>
              <w:right w:val="nil"/>
            </w:tcBorders>
            <w:tcMar>
              <w:top w:w="30" w:type="dxa"/>
              <w:left w:w="60" w:type="dxa"/>
              <w:bottom w:w="30" w:type="dxa"/>
              <w:right w:w="60" w:type="dxa"/>
            </w:tcMar>
          </w:tcPr>
          <w:p w14:paraId="2AB892D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0.14</w:t>
            </w:r>
          </w:p>
        </w:tc>
        <w:tc>
          <w:tcPr>
            <w:tcW w:w="1185" w:type="dxa"/>
            <w:tcBorders>
              <w:top w:val="nil"/>
              <w:left w:val="nil"/>
              <w:bottom w:val="nil"/>
              <w:right w:val="nil"/>
            </w:tcBorders>
            <w:tcMar>
              <w:top w:w="30" w:type="dxa"/>
              <w:left w:w="60" w:type="dxa"/>
              <w:bottom w:w="30" w:type="dxa"/>
              <w:right w:w="60" w:type="dxa"/>
            </w:tcMar>
          </w:tcPr>
          <w:p w14:paraId="05E6A0B9"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(0.35)</w:t>
            </w:r>
          </w:p>
        </w:tc>
        <w:tc>
          <w:tcPr>
            <w:tcW w:w="104" w:type="dxa"/>
            <w:tcBorders>
              <w:top w:val="nil"/>
              <w:left w:val="nil"/>
              <w:bottom w:val="nil"/>
              <w:right w:val="nil"/>
            </w:tcBorders>
            <w:tcMar>
              <w:top w:w="30" w:type="dxa"/>
              <w:left w:w="60" w:type="dxa"/>
              <w:bottom w:w="30" w:type="dxa"/>
              <w:right w:w="60" w:type="dxa"/>
            </w:tcMar>
          </w:tcPr>
          <w:p w14:paraId="7BB07F6B" w14:textId="77777777" w:rsidR="004C7857" w:rsidRDefault="004C7857">
            <w:pPr>
              <w:spacing w:line="240" w:lineRule="auto"/>
              <w:jc w:val="center"/>
              <w:rPr>
                <w:rFonts w:ascii="Times New Roman" w:eastAsia="Times New Roman" w:hAnsi="Times New Roman" w:cs="Times New Roman"/>
              </w:rPr>
            </w:pPr>
          </w:p>
        </w:tc>
      </w:tr>
      <w:tr w:rsidR="004C7857" w14:paraId="2A91F15E" w14:textId="77777777">
        <w:tc>
          <w:tcPr>
            <w:tcW w:w="6210" w:type="dxa"/>
            <w:tcBorders>
              <w:top w:val="nil"/>
              <w:left w:val="nil"/>
              <w:bottom w:val="nil"/>
              <w:right w:val="nil"/>
            </w:tcBorders>
            <w:tcMar>
              <w:top w:w="30" w:type="dxa"/>
              <w:left w:w="60" w:type="dxa"/>
              <w:bottom w:w="30" w:type="dxa"/>
              <w:right w:w="60" w:type="dxa"/>
            </w:tcMar>
          </w:tcPr>
          <w:p w14:paraId="6E31FEB4"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North</w:t>
            </w:r>
          </w:p>
        </w:tc>
        <w:tc>
          <w:tcPr>
            <w:tcW w:w="1530" w:type="dxa"/>
            <w:tcBorders>
              <w:top w:val="nil"/>
              <w:left w:val="nil"/>
              <w:bottom w:val="nil"/>
              <w:right w:val="nil"/>
            </w:tcBorders>
            <w:tcMar>
              <w:top w:w="30" w:type="dxa"/>
              <w:left w:w="60" w:type="dxa"/>
              <w:bottom w:w="30" w:type="dxa"/>
              <w:right w:w="60" w:type="dxa"/>
            </w:tcMar>
          </w:tcPr>
          <w:p w14:paraId="0F051F01"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1185" w:type="dxa"/>
            <w:tcBorders>
              <w:top w:val="nil"/>
              <w:left w:val="nil"/>
              <w:bottom w:val="nil"/>
              <w:right w:val="nil"/>
            </w:tcBorders>
            <w:tcMar>
              <w:top w:w="30" w:type="dxa"/>
              <w:left w:w="60" w:type="dxa"/>
              <w:bottom w:w="30" w:type="dxa"/>
              <w:right w:w="60" w:type="dxa"/>
            </w:tcMar>
          </w:tcPr>
          <w:p w14:paraId="52831426"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(0.37)</w:t>
            </w:r>
          </w:p>
        </w:tc>
        <w:tc>
          <w:tcPr>
            <w:tcW w:w="104" w:type="dxa"/>
            <w:tcBorders>
              <w:top w:val="nil"/>
              <w:left w:val="nil"/>
              <w:bottom w:val="nil"/>
              <w:right w:val="nil"/>
            </w:tcBorders>
            <w:tcMar>
              <w:top w:w="30" w:type="dxa"/>
              <w:left w:w="60" w:type="dxa"/>
              <w:bottom w:w="30" w:type="dxa"/>
              <w:right w:w="60" w:type="dxa"/>
            </w:tcMar>
          </w:tcPr>
          <w:p w14:paraId="09A8C4C8" w14:textId="77777777" w:rsidR="004C7857" w:rsidRDefault="004C7857">
            <w:pPr>
              <w:spacing w:line="240" w:lineRule="auto"/>
              <w:jc w:val="center"/>
              <w:rPr>
                <w:rFonts w:ascii="Times New Roman" w:eastAsia="Times New Roman" w:hAnsi="Times New Roman" w:cs="Times New Roman"/>
              </w:rPr>
            </w:pPr>
          </w:p>
        </w:tc>
      </w:tr>
      <w:tr w:rsidR="004C7857" w14:paraId="6C0348C7" w14:textId="77777777">
        <w:tc>
          <w:tcPr>
            <w:tcW w:w="6210" w:type="dxa"/>
            <w:tcBorders>
              <w:top w:val="nil"/>
              <w:left w:val="nil"/>
              <w:bottom w:val="nil"/>
              <w:right w:val="nil"/>
            </w:tcBorders>
            <w:tcMar>
              <w:top w:w="30" w:type="dxa"/>
              <w:left w:w="60" w:type="dxa"/>
              <w:bottom w:w="30" w:type="dxa"/>
              <w:right w:w="60" w:type="dxa"/>
            </w:tcMar>
          </w:tcPr>
          <w:p w14:paraId="3BE56C47"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West</w:t>
            </w:r>
          </w:p>
        </w:tc>
        <w:tc>
          <w:tcPr>
            <w:tcW w:w="1530" w:type="dxa"/>
            <w:tcBorders>
              <w:top w:val="nil"/>
              <w:left w:val="nil"/>
              <w:bottom w:val="nil"/>
              <w:right w:val="nil"/>
            </w:tcBorders>
            <w:tcMar>
              <w:top w:w="30" w:type="dxa"/>
              <w:left w:w="60" w:type="dxa"/>
              <w:bottom w:w="30" w:type="dxa"/>
              <w:right w:w="60" w:type="dxa"/>
            </w:tcMar>
          </w:tcPr>
          <w:p w14:paraId="6B77C46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1185" w:type="dxa"/>
            <w:tcBorders>
              <w:top w:val="nil"/>
              <w:left w:val="nil"/>
              <w:bottom w:val="nil"/>
              <w:right w:val="nil"/>
            </w:tcBorders>
            <w:tcMar>
              <w:top w:w="30" w:type="dxa"/>
              <w:left w:w="60" w:type="dxa"/>
              <w:bottom w:w="30" w:type="dxa"/>
              <w:right w:w="60" w:type="dxa"/>
            </w:tcMar>
          </w:tcPr>
          <w:p w14:paraId="6CB73AE6"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(0.37)</w:t>
            </w:r>
          </w:p>
        </w:tc>
        <w:tc>
          <w:tcPr>
            <w:tcW w:w="104" w:type="dxa"/>
            <w:tcBorders>
              <w:top w:val="nil"/>
              <w:left w:val="nil"/>
              <w:bottom w:val="nil"/>
              <w:right w:val="nil"/>
            </w:tcBorders>
            <w:tcMar>
              <w:top w:w="30" w:type="dxa"/>
              <w:left w:w="60" w:type="dxa"/>
              <w:bottom w:w="30" w:type="dxa"/>
              <w:right w:w="60" w:type="dxa"/>
            </w:tcMar>
          </w:tcPr>
          <w:p w14:paraId="4C5B7779" w14:textId="77777777" w:rsidR="004C7857" w:rsidRDefault="004C7857">
            <w:pPr>
              <w:spacing w:line="240" w:lineRule="auto"/>
              <w:jc w:val="center"/>
              <w:rPr>
                <w:rFonts w:ascii="Times New Roman" w:eastAsia="Times New Roman" w:hAnsi="Times New Roman" w:cs="Times New Roman"/>
              </w:rPr>
            </w:pPr>
          </w:p>
        </w:tc>
      </w:tr>
      <w:tr w:rsidR="004C7857" w14:paraId="29B2D9D1" w14:textId="77777777">
        <w:tc>
          <w:tcPr>
            <w:tcW w:w="6210" w:type="dxa"/>
            <w:tcBorders>
              <w:top w:val="nil"/>
              <w:left w:val="nil"/>
              <w:bottom w:val="nil"/>
              <w:right w:val="nil"/>
            </w:tcBorders>
            <w:tcMar>
              <w:top w:w="30" w:type="dxa"/>
              <w:left w:w="60" w:type="dxa"/>
              <w:bottom w:w="30" w:type="dxa"/>
              <w:right w:w="60" w:type="dxa"/>
            </w:tcMar>
          </w:tcPr>
          <w:p w14:paraId="550BE2BE"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South</w:t>
            </w:r>
          </w:p>
        </w:tc>
        <w:tc>
          <w:tcPr>
            <w:tcW w:w="1530" w:type="dxa"/>
            <w:tcBorders>
              <w:top w:val="nil"/>
              <w:left w:val="nil"/>
              <w:bottom w:val="nil"/>
              <w:right w:val="nil"/>
            </w:tcBorders>
            <w:tcMar>
              <w:top w:w="30" w:type="dxa"/>
              <w:left w:w="60" w:type="dxa"/>
              <w:bottom w:w="30" w:type="dxa"/>
              <w:right w:w="60" w:type="dxa"/>
            </w:tcMar>
          </w:tcPr>
          <w:p w14:paraId="440674F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0.48</w:t>
            </w:r>
          </w:p>
        </w:tc>
        <w:tc>
          <w:tcPr>
            <w:tcW w:w="1185" w:type="dxa"/>
            <w:tcBorders>
              <w:top w:val="nil"/>
              <w:left w:val="nil"/>
              <w:bottom w:val="nil"/>
              <w:right w:val="nil"/>
            </w:tcBorders>
            <w:tcMar>
              <w:top w:w="30" w:type="dxa"/>
              <w:left w:w="60" w:type="dxa"/>
              <w:bottom w:w="30" w:type="dxa"/>
              <w:right w:w="60" w:type="dxa"/>
            </w:tcMar>
          </w:tcPr>
          <w:p w14:paraId="46C19DFD"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(0.50)</w:t>
            </w:r>
          </w:p>
        </w:tc>
        <w:tc>
          <w:tcPr>
            <w:tcW w:w="104" w:type="dxa"/>
            <w:tcBorders>
              <w:top w:val="nil"/>
              <w:left w:val="nil"/>
              <w:bottom w:val="nil"/>
              <w:right w:val="nil"/>
            </w:tcBorders>
            <w:tcMar>
              <w:top w:w="30" w:type="dxa"/>
              <w:left w:w="60" w:type="dxa"/>
              <w:bottom w:w="30" w:type="dxa"/>
              <w:right w:w="60" w:type="dxa"/>
            </w:tcMar>
          </w:tcPr>
          <w:p w14:paraId="0CD6DB97" w14:textId="77777777" w:rsidR="004C7857" w:rsidRDefault="004C7857">
            <w:pPr>
              <w:spacing w:line="240" w:lineRule="auto"/>
              <w:jc w:val="center"/>
              <w:rPr>
                <w:rFonts w:ascii="Times New Roman" w:eastAsia="Times New Roman" w:hAnsi="Times New Roman" w:cs="Times New Roman"/>
              </w:rPr>
            </w:pPr>
          </w:p>
        </w:tc>
      </w:tr>
      <w:tr w:rsidR="004C7857" w14:paraId="04F5A595" w14:textId="77777777">
        <w:tc>
          <w:tcPr>
            <w:tcW w:w="6210" w:type="dxa"/>
            <w:tcBorders>
              <w:top w:val="nil"/>
              <w:left w:val="nil"/>
              <w:bottom w:val="single" w:sz="8" w:space="0" w:color="000000"/>
              <w:right w:val="nil"/>
            </w:tcBorders>
            <w:tcMar>
              <w:top w:w="30" w:type="dxa"/>
              <w:left w:w="60" w:type="dxa"/>
              <w:bottom w:w="30" w:type="dxa"/>
              <w:right w:w="60" w:type="dxa"/>
            </w:tcMar>
          </w:tcPr>
          <w:p w14:paraId="4D5AF5FA"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East</w:t>
            </w:r>
          </w:p>
        </w:tc>
        <w:tc>
          <w:tcPr>
            <w:tcW w:w="1530" w:type="dxa"/>
            <w:tcBorders>
              <w:top w:val="nil"/>
              <w:left w:val="nil"/>
              <w:bottom w:val="single" w:sz="8" w:space="0" w:color="000000"/>
              <w:right w:val="nil"/>
            </w:tcBorders>
            <w:tcMar>
              <w:top w:w="30" w:type="dxa"/>
              <w:left w:w="60" w:type="dxa"/>
              <w:bottom w:w="30" w:type="dxa"/>
              <w:right w:w="60" w:type="dxa"/>
            </w:tcMar>
          </w:tcPr>
          <w:p w14:paraId="359B4380"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185" w:type="dxa"/>
            <w:tcBorders>
              <w:top w:val="nil"/>
              <w:left w:val="nil"/>
              <w:bottom w:val="single" w:sz="8" w:space="0" w:color="000000"/>
              <w:right w:val="nil"/>
            </w:tcBorders>
            <w:tcMar>
              <w:top w:w="30" w:type="dxa"/>
              <w:left w:w="60" w:type="dxa"/>
              <w:bottom w:w="30" w:type="dxa"/>
              <w:right w:w="60" w:type="dxa"/>
            </w:tcMar>
          </w:tcPr>
          <w:p w14:paraId="20794A83"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(0.23)</w:t>
            </w:r>
          </w:p>
        </w:tc>
        <w:tc>
          <w:tcPr>
            <w:tcW w:w="104" w:type="dxa"/>
            <w:tcBorders>
              <w:top w:val="nil"/>
              <w:left w:val="nil"/>
              <w:bottom w:val="single" w:sz="8" w:space="0" w:color="000000"/>
              <w:right w:val="nil"/>
            </w:tcBorders>
            <w:tcMar>
              <w:top w:w="30" w:type="dxa"/>
              <w:left w:w="60" w:type="dxa"/>
              <w:bottom w:w="30" w:type="dxa"/>
              <w:right w:w="60" w:type="dxa"/>
            </w:tcMar>
          </w:tcPr>
          <w:p w14:paraId="682C423A" w14:textId="77777777" w:rsidR="004C7857" w:rsidRDefault="004C7857">
            <w:pPr>
              <w:spacing w:line="240" w:lineRule="auto"/>
              <w:jc w:val="center"/>
              <w:rPr>
                <w:rFonts w:ascii="Times New Roman" w:eastAsia="Times New Roman" w:hAnsi="Times New Roman" w:cs="Times New Roman"/>
              </w:rPr>
            </w:pPr>
          </w:p>
        </w:tc>
      </w:tr>
      <w:tr w:rsidR="004C7857" w14:paraId="047D4526" w14:textId="77777777">
        <w:tc>
          <w:tcPr>
            <w:tcW w:w="9029" w:type="dxa"/>
            <w:gridSpan w:val="4"/>
            <w:tcBorders>
              <w:top w:val="nil"/>
              <w:left w:val="nil"/>
              <w:bottom w:val="nil"/>
              <w:right w:val="nil"/>
            </w:tcBorders>
            <w:tcMar>
              <w:top w:w="30" w:type="dxa"/>
              <w:left w:w="60" w:type="dxa"/>
              <w:bottom w:w="30" w:type="dxa"/>
              <w:right w:w="60" w:type="dxa"/>
            </w:tcMar>
          </w:tcPr>
          <w:p w14:paraId="5EDDF7EE" w14:textId="77777777" w:rsidR="004C7857" w:rsidRDefault="00000000">
            <w:pPr>
              <w:spacing w:line="240" w:lineRule="auto"/>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vertAlign w:val="superscript"/>
              </w:rPr>
              <w:t>a</w:t>
            </w:r>
            <w:r>
              <w:rPr>
                <w:rFonts w:ascii="Times New Roman" w:eastAsia="Times New Roman" w:hAnsi="Times New Roman" w:cs="Times New Roman"/>
                <w:sz w:val="20"/>
                <w:szCs w:val="20"/>
                <w:highlight w:val="white"/>
              </w:rPr>
              <w:t xml:space="preserve"> “Other selective school” category includes all schools with exam-based admissions except for NIS, BIL, </w:t>
            </w:r>
            <w:proofErr w:type="spellStart"/>
            <w:r>
              <w:rPr>
                <w:rFonts w:ascii="Times New Roman" w:eastAsia="Times New Roman" w:hAnsi="Times New Roman" w:cs="Times New Roman"/>
                <w:sz w:val="20"/>
                <w:szCs w:val="20"/>
                <w:highlight w:val="white"/>
              </w:rPr>
              <w:t>Fizmat</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Daryn</w:t>
            </w:r>
            <w:proofErr w:type="spellEnd"/>
            <w:r>
              <w:rPr>
                <w:rFonts w:ascii="Times New Roman" w:eastAsia="Times New Roman" w:hAnsi="Times New Roman" w:cs="Times New Roman"/>
                <w:sz w:val="20"/>
                <w:szCs w:val="20"/>
                <w:highlight w:val="white"/>
              </w:rPr>
              <w:t xml:space="preserve">, and </w:t>
            </w:r>
            <w:proofErr w:type="spellStart"/>
            <w:r>
              <w:rPr>
                <w:rFonts w:ascii="Times New Roman" w:eastAsia="Times New Roman" w:hAnsi="Times New Roman" w:cs="Times New Roman"/>
                <w:sz w:val="20"/>
                <w:szCs w:val="20"/>
                <w:highlight w:val="white"/>
              </w:rPr>
              <w:t>IQanat</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Burabay</w:t>
            </w:r>
            <w:proofErr w:type="spellEnd"/>
            <w:r>
              <w:rPr>
                <w:rFonts w:ascii="Times New Roman" w:eastAsia="Times New Roman" w:hAnsi="Times New Roman" w:cs="Times New Roman"/>
                <w:sz w:val="20"/>
                <w:szCs w:val="20"/>
                <w:highlight w:val="white"/>
              </w:rPr>
              <w:t xml:space="preserve"> schools. </w:t>
            </w:r>
          </w:p>
        </w:tc>
      </w:tr>
    </w:tbl>
    <w:p w14:paraId="54D2748E" w14:textId="77777777" w:rsidR="004C7857" w:rsidRDefault="004C7857">
      <w:pPr>
        <w:spacing w:line="240" w:lineRule="auto"/>
        <w:rPr>
          <w:rFonts w:ascii="Times New Roman" w:eastAsia="Times New Roman" w:hAnsi="Times New Roman" w:cs="Times New Roman"/>
          <w:sz w:val="24"/>
          <w:szCs w:val="24"/>
        </w:rPr>
      </w:pPr>
    </w:p>
    <w:tbl>
      <w:tblPr>
        <w:tblStyle w:val="a0"/>
        <w:tblW w:w="87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1305"/>
        <w:gridCol w:w="3300"/>
        <w:gridCol w:w="1725"/>
      </w:tblGrid>
      <w:tr w:rsidR="004C7857" w14:paraId="7C2E9657" w14:textId="77777777">
        <w:trPr>
          <w:trHeight w:val="280"/>
        </w:trPr>
        <w:tc>
          <w:tcPr>
            <w:tcW w:w="8730" w:type="dxa"/>
            <w:gridSpan w:val="4"/>
            <w:tcBorders>
              <w:top w:val="nil"/>
              <w:left w:val="nil"/>
              <w:bottom w:val="single" w:sz="4" w:space="0" w:color="000000"/>
              <w:right w:val="nil"/>
            </w:tcBorders>
            <w:tcMar>
              <w:top w:w="30" w:type="dxa"/>
              <w:left w:w="60" w:type="dxa"/>
              <w:bottom w:w="30" w:type="dxa"/>
              <w:right w:w="60" w:type="dxa"/>
            </w:tcMar>
          </w:tcPr>
          <w:p w14:paraId="28CE5CCE" w14:textId="77777777" w:rsidR="004C7857"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2</w:t>
            </w:r>
          </w:p>
          <w:p w14:paraId="0FCB0FEC" w14:textId="77777777" w:rsidR="004C7857" w:rsidRDefault="00000000">
            <w:pPr>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i/>
                <w:iCs/>
                <w:sz w:val="24"/>
                <w:szCs w:val="24"/>
              </w:rPr>
              <w:t>Higher education enrollment rates across school type (</w:t>
            </w:r>
            <w:r>
              <w:rPr>
                <w:rFonts w:ascii="Times New Roman" w:eastAsia="Times New Roman" w:hAnsi="Times New Roman" w:cs="Times New Roman"/>
                <w:sz w:val="24"/>
                <w:szCs w:val="24"/>
              </w:rPr>
              <w:t>N</w:t>
            </w:r>
            <w:r>
              <w:rPr>
                <w:rFonts w:ascii="Times New Roman" w:eastAsia="Times New Roman" w:hAnsi="Times New Roman" w:cs="Times New Roman"/>
                <w:i/>
                <w:iCs/>
                <w:sz w:val="24"/>
                <w:szCs w:val="24"/>
              </w:rPr>
              <w:t xml:space="preserve"> = 499,150)</w:t>
            </w:r>
          </w:p>
        </w:tc>
      </w:tr>
      <w:tr w:rsidR="004C7857" w14:paraId="00E3425C" w14:textId="77777777">
        <w:trPr>
          <w:trHeight w:val="280"/>
        </w:trPr>
        <w:tc>
          <w:tcPr>
            <w:tcW w:w="2400" w:type="dxa"/>
            <w:vMerge w:val="restart"/>
            <w:tcBorders>
              <w:top w:val="single" w:sz="8" w:space="0" w:color="000000"/>
              <w:left w:val="nil"/>
              <w:bottom w:val="single" w:sz="4" w:space="0" w:color="000000"/>
              <w:right w:val="nil"/>
            </w:tcBorders>
            <w:tcMar>
              <w:top w:w="30" w:type="dxa"/>
              <w:left w:w="60" w:type="dxa"/>
              <w:bottom w:w="30" w:type="dxa"/>
              <w:right w:w="60" w:type="dxa"/>
            </w:tcMar>
          </w:tcPr>
          <w:p w14:paraId="224A7DFF"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type</w:t>
            </w:r>
          </w:p>
        </w:tc>
        <w:tc>
          <w:tcPr>
            <w:tcW w:w="1305" w:type="dxa"/>
            <w:vMerge w:val="restart"/>
            <w:tcBorders>
              <w:top w:val="single" w:sz="8" w:space="0" w:color="000000"/>
              <w:left w:val="nil"/>
              <w:bottom w:val="single" w:sz="4" w:space="0" w:color="000000"/>
              <w:right w:val="nil"/>
            </w:tcBorders>
            <w:tcMar>
              <w:top w:w="30" w:type="dxa"/>
              <w:left w:w="60" w:type="dxa"/>
              <w:bottom w:w="30" w:type="dxa"/>
              <w:right w:w="60" w:type="dxa"/>
            </w:tcMar>
          </w:tcPr>
          <w:p w14:paraId="1ED052D1"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3300" w:type="dxa"/>
            <w:vMerge w:val="restart"/>
            <w:tcBorders>
              <w:top w:val="single" w:sz="8" w:space="0" w:color="000000"/>
              <w:left w:val="nil"/>
              <w:bottom w:val="single" w:sz="4" w:space="0" w:color="000000"/>
              <w:right w:val="nil"/>
            </w:tcBorders>
            <w:tcMar>
              <w:top w:w="30" w:type="dxa"/>
              <w:left w:w="60" w:type="dxa"/>
              <w:bottom w:w="30" w:type="dxa"/>
              <w:right w:w="60" w:type="dxa"/>
            </w:tcMar>
          </w:tcPr>
          <w:p w14:paraId="3905D1BA"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enrolled</w:t>
            </w:r>
            <w:proofErr w:type="gramEnd"/>
            <w:r>
              <w:rPr>
                <w:rFonts w:ascii="Times New Roman" w:eastAsia="Times New Roman" w:hAnsi="Times New Roman" w:cs="Times New Roman"/>
                <w:sz w:val="24"/>
                <w:szCs w:val="24"/>
              </w:rPr>
              <w:t xml:space="preserve"> in any higher education institution in Kazakhstan</w:t>
            </w:r>
          </w:p>
        </w:tc>
        <w:tc>
          <w:tcPr>
            <w:tcW w:w="1725" w:type="dxa"/>
            <w:vMerge w:val="restart"/>
            <w:tcBorders>
              <w:top w:val="single" w:sz="8" w:space="0" w:color="000000"/>
              <w:left w:val="nil"/>
              <w:bottom w:val="single" w:sz="4" w:space="0" w:color="000000"/>
              <w:right w:val="nil"/>
            </w:tcBorders>
            <w:tcMar>
              <w:top w:w="30" w:type="dxa"/>
              <w:left w:w="60" w:type="dxa"/>
              <w:bottom w:w="30" w:type="dxa"/>
              <w:right w:w="60" w:type="dxa"/>
            </w:tcMar>
          </w:tcPr>
          <w:p w14:paraId="2F4B9015"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enrolled</w:t>
            </w:r>
            <w:proofErr w:type="gramEnd"/>
            <w:r>
              <w:rPr>
                <w:rFonts w:ascii="Times New Roman" w:eastAsia="Times New Roman" w:hAnsi="Times New Roman" w:cs="Times New Roman"/>
                <w:sz w:val="24"/>
                <w:szCs w:val="24"/>
              </w:rPr>
              <w:t xml:space="preserve"> in NU</w:t>
            </w:r>
          </w:p>
        </w:tc>
      </w:tr>
      <w:tr w:rsidR="004C7857" w14:paraId="3B0968A7" w14:textId="77777777">
        <w:trPr>
          <w:trHeight w:val="317"/>
        </w:trPr>
        <w:tc>
          <w:tcPr>
            <w:tcW w:w="2400" w:type="dxa"/>
            <w:vMerge/>
            <w:tcBorders>
              <w:top w:val="single" w:sz="8" w:space="0" w:color="000000"/>
              <w:left w:val="nil"/>
              <w:bottom w:val="single" w:sz="4" w:space="0" w:color="000000"/>
              <w:right w:val="nil"/>
            </w:tcBorders>
            <w:tcMar>
              <w:top w:w="30" w:type="dxa"/>
              <w:left w:w="60" w:type="dxa"/>
              <w:bottom w:w="30" w:type="dxa"/>
              <w:right w:w="60" w:type="dxa"/>
            </w:tcMar>
          </w:tcPr>
          <w:p w14:paraId="297576E6" w14:textId="77777777" w:rsidR="004C7857" w:rsidRDefault="004C7857">
            <w:pPr>
              <w:widowControl w:val="0"/>
              <w:pBdr>
                <w:top w:val="nil"/>
                <w:left w:val="nil"/>
                <w:bottom w:val="nil"/>
                <w:right w:val="nil"/>
                <w:between w:val="nil"/>
              </w:pBdr>
              <w:rPr>
                <w:rFonts w:ascii="Times New Roman" w:eastAsia="Times New Roman" w:hAnsi="Times New Roman" w:cs="Times New Roman"/>
                <w:sz w:val="24"/>
                <w:szCs w:val="24"/>
              </w:rPr>
            </w:pPr>
          </w:p>
        </w:tc>
        <w:tc>
          <w:tcPr>
            <w:tcW w:w="1305" w:type="dxa"/>
            <w:vMerge/>
            <w:tcBorders>
              <w:top w:val="single" w:sz="8" w:space="0" w:color="000000"/>
              <w:left w:val="nil"/>
              <w:bottom w:val="single" w:sz="4" w:space="0" w:color="000000"/>
              <w:right w:val="nil"/>
            </w:tcBorders>
            <w:tcMar>
              <w:top w:w="30" w:type="dxa"/>
              <w:left w:w="60" w:type="dxa"/>
              <w:bottom w:w="30" w:type="dxa"/>
              <w:right w:w="60" w:type="dxa"/>
            </w:tcMar>
          </w:tcPr>
          <w:p w14:paraId="1A5F273B" w14:textId="77777777" w:rsidR="004C7857" w:rsidRDefault="004C7857">
            <w:pPr>
              <w:widowControl w:val="0"/>
              <w:pBdr>
                <w:top w:val="nil"/>
                <w:left w:val="nil"/>
                <w:bottom w:val="nil"/>
                <w:right w:val="nil"/>
                <w:between w:val="nil"/>
              </w:pBdr>
              <w:rPr>
                <w:rFonts w:ascii="Times New Roman" w:eastAsia="Times New Roman" w:hAnsi="Times New Roman" w:cs="Times New Roman"/>
                <w:sz w:val="24"/>
                <w:szCs w:val="24"/>
              </w:rPr>
            </w:pPr>
          </w:p>
        </w:tc>
        <w:tc>
          <w:tcPr>
            <w:tcW w:w="3300" w:type="dxa"/>
            <w:vMerge/>
            <w:tcBorders>
              <w:top w:val="single" w:sz="8" w:space="0" w:color="000000"/>
              <w:left w:val="nil"/>
              <w:bottom w:val="single" w:sz="4" w:space="0" w:color="000000"/>
              <w:right w:val="nil"/>
            </w:tcBorders>
            <w:tcMar>
              <w:top w:w="30" w:type="dxa"/>
              <w:left w:w="60" w:type="dxa"/>
              <w:bottom w:w="30" w:type="dxa"/>
              <w:right w:w="60" w:type="dxa"/>
            </w:tcMar>
          </w:tcPr>
          <w:p w14:paraId="4F70C0F6" w14:textId="77777777" w:rsidR="004C7857" w:rsidRDefault="004C7857">
            <w:pPr>
              <w:widowControl w:val="0"/>
              <w:pBdr>
                <w:top w:val="nil"/>
                <w:left w:val="nil"/>
                <w:bottom w:val="nil"/>
                <w:right w:val="nil"/>
                <w:between w:val="nil"/>
              </w:pBdr>
              <w:rPr>
                <w:rFonts w:ascii="Times New Roman" w:eastAsia="Times New Roman" w:hAnsi="Times New Roman" w:cs="Times New Roman"/>
                <w:sz w:val="24"/>
                <w:szCs w:val="24"/>
              </w:rPr>
            </w:pPr>
          </w:p>
        </w:tc>
        <w:tc>
          <w:tcPr>
            <w:tcW w:w="1725" w:type="dxa"/>
            <w:vMerge/>
            <w:tcBorders>
              <w:top w:val="single" w:sz="8" w:space="0" w:color="000000"/>
              <w:left w:val="nil"/>
              <w:bottom w:val="single" w:sz="4" w:space="0" w:color="000000"/>
              <w:right w:val="nil"/>
            </w:tcBorders>
            <w:tcMar>
              <w:top w:w="30" w:type="dxa"/>
              <w:left w:w="60" w:type="dxa"/>
              <w:bottom w:w="30" w:type="dxa"/>
              <w:right w:w="60" w:type="dxa"/>
            </w:tcMar>
          </w:tcPr>
          <w:p w14:paraId="33A77A3E" w14:textId="77777777" w:rsidR="004C7857" w:rsidRDefault="004C7857">
            <w:pPr>
              <w:widowControl w:val="0"/>
              <w:pBdr>
                <w:top w:val="nil"/>
                <w:left w:val="nil"/>
                <w:bottom w:val="nil"/>
                <w:right w:val="nil"/>
                <w:between w:val="nil"/>
              </w:pBdr>
              <w:rPr>
                <w:rFonts w:ascii="Times New Roman" w:eastAsia="Times New Roman" w:hAnsi="Times New Roman" w:cs="Times New Roman"/>
                <w:sz w:val="24"/>
                <w:szCs w:val="24"/>
              </w:rPr>
            </w:pPr>
          </w:p>
        </w:tc>
      </w:tr>
      <w:tr w:rsidR="004C7857" w14:paraId="23B6B4F4" w14:textId="77777777">
        <w:tc>
          <w:tcPr>
            <w:tcW w:w="2400" w:type="dxa"/>
            <w:tcBorders>
              <w:top w:val="nil"/>
              <w:left w:val="nil"/>
              <w:bottom w:val="nil"/>
              <w:right w:val="nil"/>
            </w:tcBorders>
            <w:tcMar>
              <w:top w:w="30" w:type="dxa"/>
              <w:left w:w="60" w:type="dxa"/>
              <w:bottom w:w="30" w:type="dxa"/>
              <w:right w:w="60" w:type="dxa"/>
            </w:tcMar>
          </w:tcPr>
          <w:p w14:paraId="7300971F"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Urban public school</w:t>
            </w:r>
          </w:p>
        </w:tc>
        <w:tc>
          <w:tcPr>
            <w:tcW w:w="1305" w:type="dxa"/>
            <w:tcBorders>
              <w:top w:val="nil"/>
              <w:left w:val="nil"/>
              <w:bottom w:val="nil"/>
              <w:right w:val="nil"/>
            </w:tcBorders>
            <w:tcMar>
              <w:top w:w="30" w:type="dxa"/>
              <w:left w:w="60" w:type="dxa"/>
              <w:bottom w:w="30" w:type="dxa"/>
              <w:right w:w="60" w:type="dxa"/>
            </w:tcMar>
          </w:tcPr>
          <w:p w14:paraId="78B272E6"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215,727</w:t>
            </w:r>
          </w:p>
        </w:tc>
        <w:tc>
          <w:tcPr>
            <w:tcW w:w="3300" w:type="dxa"/>
            <w:tcBorders>
              <w:top w:val="nil"/>
              <w:left w:val="nil"/>
              <w:bottom w:val="nil"/>
              <w:right w:val="nil"/>
            </w:tcBorders>
            <w:tcMar>
              <w:top w:w="30" w:type="dxa"/>
              <w:left w:w="60" w:type="dxa"/>
              <w:bottom w:w="30" w:type="dxa"/>
              <w:right w:w="60" w:type="dxa"/>
            </w:tcMar>
          </w:tcPr>
          <w:p w14:paraId="70EEDE75"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725" w:type="dxa"/>
            <w:tcBorders>
              <w:top w:val="nil"/>
              <w:left w:val="nil"/>
              <w:bottom w:val="nil"/>
              <w:right w:val="nil"/>
            </w:tcBorders>
            <w:tcMar>
              <w:top w:w="30" w:type="dxa"/>
              <w:left w:w="60" w:type="dxa"/>
              <w:bottom w:w="30" w:type="dxa"/>
              <w:right w:w="60" w:type="dxa"/>
            </w:tcMar>
          </w:tcPr>
          <w:p w14:paraId="16D926EB"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r>
      <w:tr w:rsidR="004C7857" w14:paraId="24FCDAC4" w14:textId="77777777">
        <w:tc>
          <w:tcPr>
            <w:tcW w:w="2400" w:type="dxa"/>
            <w:tcBorders>
              <w:top w:val="nil"/>
              <w:left w:val="nil"/>
              <w:bottom w:val="nil"/>
              <w:right w:val="nil"/>
            </w:tcBorders>
            <w:tcMar>
              <w:top w:w="30" w:type="dxa"/>
              <w:left w:w="60" w:type="dxa"/>
              <w:bottom w:w="30" w:type="dxa"/>
              <w:right w:w="60" w:type="dxa"/>
            </w:tcMar>
          </w:tcPr>
          <w:p w14:paraId="3348B53B"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 public school</w:t>
            </w:r>
          </w:p>
        </w:tc>
        <w:tc>
          <w:tcPr>
            <w:tcW w:w="1305" w:type="dxa"/>
            <w:tcBorders>
              <w:top w:val="nil"/>
              <w:left w:val="nil"/>
              <w:bottom w:val="nil"/>
              <w:right w:val="nil"/>
            </w:tcBorders>
            <w:tcMar>
              <w:top w:w="30" w:type="dxa"/>
              <w:left w:w="60" w:type="dxa"/>
              <w:bottom w:w="30" w:type="dxa"/>
              <w:right w:w="60" w:type="dxa"/>
            </w:tcMar>
          </w:tcPr>
          <w:p w14:paraId="075D61F1"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192,478</w:t>
            </w:r>
          </w:p>
        </w:tc>
        <w:tc>
          <w:tcPr>
            <w:tcW w:w="3300" w:type="dxa"/>
            <w:tcBorders>
              <w:top w:val="nil"/>
              <w:left w:val="nil"/>
              <w:bottom w:val="nil"/>
              <w:right w:val="nil"/>
            </w:tcBorders>
            <w:tcMar>
              <w:top w:w="30" w:type="dxa"/>
              <w:left w:w="60" w:type="dxa"/>
              <w:bottom w:w="30" w:type="dxa"/>
              <w:right w:w="60" w:type="dxa"/>
            </w:tcMar>
          </w:tcPr>
          <w:p w14:paraId="2483154C"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725" w:type="dxa"/>
            <w:tcBorders>
              <w:top w:val="nil"/>
              <w:left w:val="nil"/>
              <w:bottom w:val="nil"/>
              <w:right w:val="nil"/>
            </w:tcBorders>
            <w:tcMar>
              <w:top w:w="30" w:type="dxa"/>
              <w:left w:w="60" w:type="dxa"/>
              <w:bottom w:w="30" w:type="dxa"/>
              <w:right w:w="60" w:type="dxa"/>
            </w:tcMar>
          </w:tcPr>
          <w:p w14:paraId="53D4C7AB"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4C7857" w14:paraId="5D750285" w14:textId="77777777">
        <w:tc>
          <w:tcPr>
            <w:tcW w:w="2400" w:type="dxa"/>
            <w:tcBorders>
              <w:top w:val="nil"/>
              <w:left w:val="nil"/>
              <w:bottom w:val="nil"/>
              <w:right w:val="nil"/>
            </w:tcBorders>
            <w:tcMar>
              <w:top w:w="30" w:type="dxa"/>
              <w:left w:w="60" w:type="dxa"/>
              <w:bottom w:w="30" w:type="dxa"/>
              <w:right w:w="60" w:type="dxa"/>
            </w:tcMar>
          </w:tcPr>
          <w:p w14:paraId="13615D69"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Multigrade</w:t>
            </w:r>
          </w:p>
        </w:tc>
        <w:tc>
          <w:tcPr>
            <w:tcW w:w="1305" w:type="dxa"/>
            <w:tcBorders>
              <w:top w:val="nil"/>
              <w:left w:val="nil"/>
              <w:bottom w:val="nil"/>
              <w:right w:val="nil"/>
            </w:tcBorders>
            <w:tcMar>
              <w:top w:w="30" w:type="dxa"/>
              <w:left w:w="60" w:type="dxa"/>
              <w:bottom w:w="30" w:type="dxa"/>
              <w:right w:w="60" w:type="dxa"/>
            </w:tcMar>
          </w:tcPr>
          <w:p w14:paraId="19492E35"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25,381</w:t>
            </w:r>
          </w:p>
        </w:tc>
        <w:tc>
          <w:tcPr>
            <w:tcW w:w="3300" w:type="dxa"/>
            <w:tcBorders>
              <w:top w:val="nil"/>
              <w:left w:val="nil"/>
              <w:bottom w:val="nil"/>
              <w:right w:val="nil"/>
            </w:tcBorders>
            <w:tcMar>
              <w:top w:w="30" w:type="dxa"/>
              <w:left w:w="60" w:type="dxa"/>
              <w:bottom w:w="30" w:type="dxa"/>
              <w:right w:w="60" w:type="dxa"/>
            </w:tcMar>
          </w:tcPr>
          <w:p w14:paraId="277E6F69"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725" w:type="dxa"/>
            <w:tcBorders>
              <w:top w:val="nil"/>
              <w:left w:val="nil"/>
              <w:bottom w:val="nil"/>
              <w:right w:val="nil"/>
            </w:tcBorders>
            <w:tcMar>
              <w:top w:w="30" w:type="dxa"/>
              <w:left w:w="60" w:type="dxa"/>
              <w:bottom w:w="30" w:type="dxa"/>
              <w:right w:w="60" w:type="dxa"/>
            </w:tcMar>
          </w:tcPr>
          <w:p w14:paraId="3884E5EA"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4C7857" w14:paraId="40FA2C90" w14:textId="77777777">
        <w:tc>
          <w:tcPr>
            <w:tcW w:w="2400" w:type="dxa"/>
            <w:tcBorders>
              <w:top w:val="nil"/>
              <w:left w:val="nil"/>
              <w:bottom w:val="nil"/>
              <w:right w:val="nil"/>
            </w:tcBorders>
            <w:tcMar>
              <w:top w:w="30" w:type="dxa"/>
              <w:left w:w="60" w:type="dxa"/>
              <w:bottom w:w="30" w:type="dxa"/>
              <w:right w:w="60" w:type="dxa"/>
            </w:tcMar>
          </w:tcPr>
          <w:p w14:paraId="6CEE9137"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Gymnasium / lyceum</w:t>
            </w:r>
          </w:p>
        </w:tc>
        <w:tc>
          <w:tcPr>
            <w:tcW w:w="1305" w:type="dxa"/>
            <w:tcBorders>
              <w:top w:val="nil"/>
              <w:left w:val="nil"/>
              <w:bottom w:val="nil"/>
              <w:right w:val="nil"/>
            </w:tcBorders>
            <w:tcMar>
              <w:top w:w="30" w:type="dxa"/>
              <w:left w:w="60" w:type="dxa"/>
              <w:bottom w:w="30" w:type="dxa"/>
              <w:right w:w="60" w:type="dxa"/>
            </w:tcMar>
          </w:tcPr>
          <w:p w14:paraId="1745D036"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24,274</w:t>
            </w:r>
          </w:p>
        </w:tc>
        <w:tc>
          <w:tcPr>
            <w:tcW w:w="3300" w:type="dxa"/>
            <w:tcBorders>
              <w:top w:val="nil"/>
              <w:left w:val="nil"/>
              <w:bottom w:val="nil"/>
              <w:right w:val="nil"/>
            </w:tcBorders>
            <w:tcMar>
              <w:top w:w="30" w:type="dxa"/>
              <w:left w:w="60" w:type="dxa"/>
              <w:bottom w:w="30" w:type="dxa"/>
              <w:right w:w="60" w:type="dxa"/>
            </w:tcMar>
          </w:tcPr>
          <w:p w14:paraId="6C516A60"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725" w:type="dxa"/>
            <w:tcBorders>
              <w:top w:val="nil"/>
              <w:left w:val="nil"/>
              <w:bottom w:val="nil"/>
              <w:right w:val="nil"/>
            </w:tcBorders>
            <w:tcMar>
              <w:top w:w="30" w:type="dxa"/>
              <w:left w:w="60" w:type="dxa"/>
              <w:bottom w:w="30" w:type="dxa"/>
              <w:right w:w="60" w:type="dxa"/>
            </w:tcMar>
          </w:tcPr>
          <w:p w14:paraId="0A6ADF03"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r>
      <w:tr w:rsidR="004C7857" w14:paraId="1D036081" w14:textId="77777777">
        <w:tc>
          <w:tcPr>
            <w:tcW w:w="2400" w:type="dxa"/>
            <w:tcBorders>
              <w:top w:val="nil"/>
              <w:left w:val="nil"/>
              <w:bottom w:val="nil"/>
              <w:right w:val="nil"/>
            </w:tcBorders>
            <w:tcMar>
              <w:top w:w="30" w:type="dxa"/>
              <w:left w:w="60" w:type="dxa"/>
              <w:bottom w:w="30" w:type="dxa"/>
              <w:right w:w="60" w:type="dxa"/>
            </w:tcMar>
          </w:tcPr>
          <w:p w14:paraId="588C6C2C"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school</w:t>
            </w:r>
          </w:p>
        </w:tc>
        <w:tc>
          <w:tcPr>
            <w:tcW w:w="1305" w:type="dxa"/>
            <w:tcBorders>
              <w:top w:val="nil"/>
              <w:left w:val="nil"/>
              <w:bottom w:val="nil"/>
              <w:right w:val="nil"/>
            </w:tcBorders>
            <w:tcMar>
              <w:top w:w="30" w:type="dxa"/>
              <w:left w:w="60" w:type="dxa"/>
              <w:bottom w:w="30" w:type="dxa"/>
              <w:right w:w="60" w:type="dxa"/>
            </w:tcMar>
          </w:tcPr>
          <w:p w14:paraId="1E1EC85A"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14,136</w:t>
            </w:r>
          </w:p>
        </w:tc>
        <w:tc>
          <w:tcPr>
            <w:tcW w:w="3300" w:type="dxa"/>
            <w:tcBorders>
              <w:top w:val="nil"/>
              <w:left w:val="nil"/>
              <w:bottom w:val="nil"/>
              <w:right w:val="nil"/>
            </w:tcBorders>
            <w:tcMar>
              <w:top w:w="30" w:type="dxa"/>
              <w:left w:w="60" w:type="dxa"/>
              <w:bottom w:w="30" w:type="dxa"/>
              <w:right w:w="60" w:type="dxa"/>
            </w:tcMar>
          </w:tcPr>
          <w:p w14:paraId="1DF8DB8C"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725" w:type="dxa"/>
            <w:tcBorders>
              <w:top w:val="nil"/>
              <w:left w:val="nil"/>
              <w:bottom w:val="nil"/>
              <w:right w:val="nil"/>
            </w:tcBorders>
            <w:tcMar>
              <w:top w:w="30" w:type="dxa"/>
              <w:left w:w="60" w:type="dxa"/>
              <w:bottom w:w="30" w:type="dxa"/>
              <w:right w:w="60" w:type="dxa"/>
            </w:tcMar>
          </w:tcPr>
          <w:p w14:paraId="6F0B3BD6"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r>
      <w:tr w:rsidR="004C7857" w14:paraId="7B12914A" w14:textId="77777777">
        <w:tc>
          <w:tcPr>
            <w:tcW w:w="2400" w:type="dxa"/>
            <w:tcBorders>
              <w:top w:val="nil"/>
              <w:left w:val="nil"/>
              <w:bottom w:val="nil"/>
              <w:right w:val="nil"/>
            </w:tcBorders>
            <w:tcMar>
              <w:top w:w="30" w:type="dxa"/>
              <w:left w:w="60" w:type="dxa"/>
              <w:bottom w:w="30" w:type="dxa"/>
              <w:right w:w="60" w:type="dxa"/>
            </w:tcMar>
          </w:tcPr>
          <w:p w14:paraId="2599EDBC" w14:textId="77777777" w:rsidR="004C7857" w:rsidRDefault="00000000">
            <w:pPr>
              <w:spacing w:line="240" w:lineRule="auto"/>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 xml:space="preserve">Other selective </w:t>
            </w:r>
            <w:proofErr w:type="spellStart"/>
            <w:r>
              <w:rPr>
                <w:rFonts w:ascii="Times New Roman" w:eastAsia="Times New Roman" w:hAnsi="Times New Roman" w:cs="Times New Roman"/>
                <w:sz w:val="24"/>
                <w:szCs w:val="24"/>
                <w:highlight w:val="white"/>
              </w:rPr>
              <w:t>school</w:t>
            </w:r>
            <w:r>
              <w:rPr>
                <w:rFonts w:ascii="Times New Roman" w:eastAsia="Times New Roman" w:hAnsi="Times New Roman" w:cs="Times New Roman"/>
                <w:sz w:val="24"/>
                <w:szCs w:val="24"/>
                <w:highlight w:val="white"/>
                <w:vertAlign w:val="superscript"/>
              </w:rPr>
              <w:t>a</w:t>
            </w:r>
            <w:proofErr w:type="spellEnd"/>
          </w:p>
        </w:tc>
        <w:tc>
          <w:tcPr>
            <w:tcW w:w="1305" w:type="dxa"/>
            <w:tcBorders>
              <w:top w:val="nil"/>
              <w:left w:val="nil"/>
              <w:bottom w:val="nil"/>
              <w:right w:val="nil"/>
            </w:tcBorders>
            <w:tcMar>
              <w:top w:w="30" w:type="dxa"/>
              <w:left w:w="60" w:type="dxa"/>
              <w:bottom w:w="30" w:type="dxa"/>
              <w:right w:w="60" w:type="dxa"/>
            </w:tcMar>
          </w:tcPr>
          <w:p w14:paraId="1D4219F8"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12,120</w:t>
            </w:r>
          </w:p>
        </w:tc>
        <w:tc>
          <w:tcPr>
            <w:tcW w:w="3300" w:type="dxa"/>
            <w:tcBorders>
              <w:top w:val="nil"/>
              <w:left w:val="nil"/>
              <w:bottom w:val="nil"/>
              <w:right w:val="nil"/>
            </w:tcBorders>
            <w:tcMar>
              <w:top w:w="30" w:type="dxa"/>
              <w:left w:w="60" w:type="dxa"/>
              <w:bottom w:w="30" w:type="dxa"/>
              <w:right w:w="60" w:type="dxa"/>
            </w:tcMar>
          </w:tcPr>
          <w:p w14:paraId="0BEAFC50"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725" w:type="dxa"/>
            <w:tcBorders>
              <w:top w:val="nil"/>
              <w:left w:val="nil"/>
              <w:bottom w:val="nil"/>
              <w:right w:val="nil"/>
            </w:tcBorders>
            <w:tcMar>
              <w:top w:w="30" w:type="dxa"/>
              <w:left w:w="60" w:type="dxa"/>
              <w:bottom w:w="30" w:type="dxa"/>
              <w:right w:w="60" w:type="dxa"/>
            </w:tcMar>
          </w:tcPr>
          <w:p w14:paraId="50DE4BE6"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C7857" w14:paraId="249F91CB" w14:textId="77777777">
        <w:tc>
          <w:tcPr>
            <w:tcW w:w="2400" w:type="dxa"/>
            <w:tcBorders>
              <w:top w:val="nil"/>
              <w:left w:val="nil"/>
              <w:bottom w:val="nil"/>
              <w:right w:val="nil"/>
            </w:tcBorders>
            <w:tcMar>
              <w:top w:w="30" w:type="dxa"/>
              <w:left w:w="60" w:type="dxa"/>
              <w:bottom w:w="30" w:type="dxa"/>
              <w:right w:w="60" w:type="dxa"/>
            </w:tcMar>
          </w:tcPr>
          <w:p w14:paraId="125CC2D1" w14:textId="77777777" w:rsidR="004C7857" w:rsidRDefault="0000000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NIS</w:t>
            </w:r>
          </w:p>
        </w:tc>
        <w:tc>
          <w:tcPr>
            <w:tcW w:w="1305" w:type="dxa"/>
            <w:tcBorders>
              <w:top w:val="nil"/>
              <w:left w:val="nil"/>
              <w:bottom w:val="nil"/>
              <w:right w:val="nil"/>
            </w:tcBorders>
            <w:tcMar>
              <w:top w:w="30" w:type="dxa"/>
              <w:left w:w="60" w:type="dxa"/>
              <w:bottom w:w="30" w:type="dxa"/>
              <w:right w:w="60" w:type="dxa"/>
            </w:tcMar>
          </w:tcPr>
          <w:p w14:paraId="0BAA7404"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6,448</w:t>
            </w:r>
          </w:p>
        </w:tc>
        <w:tc>
          <w:tcPr>
            <w:tcW w:w="3300" w:type="dxa"/>
            <w:tcBorders>
              <w:top w:val="nil"/>
              <w:left w:val="nil"/>
              <w:bottom w:val="nil"/>
              <w:right w:val="nil"/>
            </w:tcBorders>
            <w:tcMar>
              <w:top w:w="30" w:type="dxa"/>
              <w:left w:w="60" w:type="dxa"/>
              <w:bottom w:w="30" w:type="dxa"/>
              <w:right w:w="60" w:type="dxa"/>
            </w:tcMar>
          </w:tcPr>
          <w:p w14:paraId="253177C0"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1725" w:type="dxa"/>
            <w:tcBorders>
              <w:top w:val="nil"/>
              <w:left w:val="nil"/>
              <w:bottom w:val="nil"/>
              <w:right w:val="nil"/>
            </w:tcBorders>
            <w:tcMar>
              <w:top w:w="30" w:type="dxa"/>
              <w:left w:w="60" w:type="dxa"/>
              <w:bottom w:w="30" w:type="dxa"/>
              <w:right w:w="60" w:type="dxa"/>
            </w:tcMar>
          </w:tcPr>
          <w:p w14:paraId="75CBC05C"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4C7857" w14:paraId="6C6A5AEE" w14:textId="77777777">
        <w:tc>
          <w:tcPr>
            <w:tcW w:w="2400" w:type="dxa"/>
            <w:tcBorders>
              <w:top w:val="nil"/>
              <w:left w:val="nil"/>
              <w:bottom w:val="nil"/>
              <w:right w:val="nil"/>
            </w:tcBorders>
            <w:tcMar>
              <w:top w:w="30" w:type="dxa"/>
              <w:left w:w="60" w:type="dxa"/>
              <w:bottom w:w="30" w:type="dxa"/>
              <w:right w:w="60" w:type="dxa"/>
            </w:tcMar>
          </w:tcPr>
          <w:p w14:paraId="18A8E2B4" w14:textId="77777777" w:rsidR="004C7857" w:rsidRDefault="0000000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BIL</w:t>
            </w:r>
          </w:p>
        </w:tc>
        <w:tc>
          <w:tcPr>
            <w:tcW w:w="1305" w:type="dxa"/>
            <w:tcBorders>
              <w:top w:val="nil"/>
              <w:left w:val="nil"/>
              <w:bottom w:val="nil"/>
              <w:right w:val="nil"/>
            </w:tcBorders>
            <w:tcMar>
              <w:top w:w="30" w:type="dxa"/>
              <w:left w:w="60" w:type="dxa"/>
              <w:bottom w:w="30" w:type="dxa"/>
              <w:right w:w="60" w:type="dxa"/>
            </w:tcMar>
          </w:tcPr>
          <w:p w14:paraId="220DD195"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4,902</w:t>
            </w:r>
          </w:p>
        </w:tc>
        <w:tc>
          <w:tcPr>
            <w:tcW w:w="3300" w:type="dxa"/>
            <w:tcBorders>
              <w:top w:val="nil"/>
              <w:left w:val="nil"/>
              <w:bottom w:val="nil"/>
              <w:right w:val="nil"/>
            </w:tcBorders>
            <w:tcMar>
              <w:top w:w="30" w:type="dxa"/>
              <w:left w:w="60" w:type="dxa"/>
              <w:bottom w:w="30" w:type="dxa"/>
              <w:right w:w="60" w:type="dxa"/>
            </w:tcMar>
          </w:tcPr>
          <w:p w14:paraId="072E11D5"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725" w:type="dxa"/>
            <w:tcBorders>
              <w:top w:val="nil"/>
              <w:left w:val="nil"/>
              <w:bottom w:val="nil"/>
              <w:right w:val="nil"/>
            </w:tcBorders>
            <w:tcMar>
              <w:top w:w="30" w:type="dxa"/>
              <w:left w:w="60" w:type="dxa"/>
              <w:bottom w:w="30" w:type="dxa"/>
              <w:right w:w="60" w:type="dxa"/>
            </w:tcMar>
          </w:tcPr>
          <w:p w14:paraId="0D6EBD8C"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C7857" w14:paraId="2030E348" w14:textId="77777777">
        <w:tc>
          <w:tcPr>
            <w:tcW w:w="2400" w:type="dxa"/>
            <w:tcBorders>
              <w:top w:val="nil"/>
              <w:left w:val="nil"/>
              <w:bottom w:val="nil"/>
              <w:right w:val="nil"/>
            </w:tcBorders>
            <w:tcMar>
              <w:top w:w="30" w:type="dxa"/>
              <w:left w:w="60" w:type="dxa"/>
              <w:bottom w:w="30" w:type="dxa"/>
              <w:right w:w="60" w:type="dxa"/>
            </w:tcMar>
          </w:tcPr>
          <w:p w14:paraId="472F49B5" w14:textId="77777777" w:rsidR="004C7857" w:rsidRDefault="0000000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International school</w:t>
            </w:r>
          </w:p>
        </w:tc>
        <w:tc>
          <w:tcPr>
            <w:tcW w:w="1305" w:type="dxa"/>
            <w:tcBorders>
              <w:top w:val="nil"/>
              <w:left w:val="nil"/>
              <w:bottom w:val="nil"/>
              <w:right w:val="nil"/>
            </w:tcBorders>
            <w:tcMar>
              <w:top w:w="30" w:type="dxa"/>
              <w:left w:w="60" w:type="dxa"/>
              <w:bottom w:w="30" w:type="dxa"/>
              <w:right w:w="60" w:type="dxa"/>
            </w:tcMar>
          </w:tcPr>
          <w:p w14:paraId="7C2B784C"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1,201</w:t>
            </w:r>
          </w:p>
        </w:tc>
        <w:tc>
          <w:tcPr>
            <w:tcW w:w="3300" w:type="dxa"/>
            <w:tcBorders>
              <w:top w:val="nil"/>
              <w:left w:val="nil"/>
              <w:bottom w:val="nil"/>
              <w:right w:val="nil"/>
            </w:tcBorders>
            <w:tcMar>
              <w:top w:w="30" w:type="dxa"/>
              <w:left w:w="60" w:type="dxa"/>
              <w:bottom w:w="30" w:type="dxa"/>
              <w:right w:w="60" w:type="dxa"/>
            </w:tcMar>
          </w:tcPr>
          <w:p w14:paraId="2AB2E9C1"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725" w:type="dxa"/>
            <w:tcBorders>
              <w:top w:val="nil"/>
              <w:left w:val="nil"/>
              <w:bottom w:val="nil"/>
              <w:right w:val="nil"/>
            </w:tcBorders>
            <w:tcMar>
              <w:top w:w="30" w:type="dxa"/>
              <w:left w:w="60" w:type="dxa"/>
              <w:bottom w:w="30" w:type="dxa"/>
              <w:right w:w="60" w:type="dxa"/>
            </w:tcMar>
          </w:tcPr>
          <w:p w14:paraId="2CBE6B8E"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C7857" w14:paraId="1ABBBB50" w14:textId="77777777">
        <w:tc>
          <w:tcPr>
            <w:tcW w:w="2400" w:type="dxa"/>
            <w:tcBorders>
              <w:top w:val="nil"/>
              <w:left w:val="nil"/>
              <w:bottom w:val="nil"/>
              <w:right w:val="nil"/>
            </w:tcBorders>
            <w:tcMar>
              <w:top w:w="30" w:type="dxa"/>
              <w:left w:w="60" w:type="dxa"/>
              <w:bottom w:w="30" w:type="dxa"/>
              <w:right w:w="60" w:type="dxa"/>
            </w:tcMar>
          </w:tcPr>
          <w:p w14:paraId="0E8BF995" w14:textId="77777777" w:rsidR="004C7857" w:rsidRDefault="00000000">
            <w:pPr>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Daryn</w:t>
            </w:r>
            <w:proofErr w:type="spellEnd"/>
          </w:p>
        </w:tc>
        <w:tc>
          <w:tcPr>
            <w:tcW w:w="1305" w:type="dxa"/>
            <w:tcBorders>
              <w:top w:val="nil"/>
              <w:left w:val="nil"/>
              <w:bottom w:val="nil"/>
              <w:right w:val="nil"/>
            </w:tcBorders>
            <w:tcMar>
              <w:top w:w="30" w:type="dxa"/>
              <w:left w:w="60" w:type="dxa"/>
              <w:bottom w:w="30" w:type="dxa"/>
              <w:right w:w="60" w:type="dxa"/>
            </w:tcMar>
          </w:tcPr>
          <w:p w14:paraId="2AF273FD"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1,175</w:t>
            </w:r>
          </w:p>
        </w:tc>
        <w:tc>
          <w:tcPr>
            <w:tcW w:w="3300" w:type="dxa"/>
            <w:tcBorders>
              <w:top w:val="nil"/>
              <w:left w:val="nil"/>
              <w:bottom w:val="nil"/>
              <w:right w:val="nil"/>
            </w:tcBorders>
            <w:tcMar>
              <w:top w:w="30" w:type="dxa"/>
              <w:left w:w="60" w:type="dxa"/>
              <w:bottom w:w="30" w:type="dxa"/>
              <w:right w:w="60" w:type="dxa"/>
            </w:tcMar>
          </w:tcPr>
          <w:p w14:paraId="325886DB"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725" w:type="dxa"/>
            <w:tcBorders>
              <w:top w:val="nil"/>
              <w:left w:val="nil"/>
              <w:bottom w:val="nil"/>
              <w:right w:val="nil"/>
            </w:tcBorders>
            <w:tcMar>
              <w:top w:w="30" w:type="dxa"/>
              <w:left w:w="60" w:type="dxa"/>
              <w:bottom w:w="30" w:type="dxa"/>
              <w:right w:w="60" w:type="dxa"/>
            </w:tcMar>
          </w:tcPr>
          <w:p w14:paraId="093A4027"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C7857" w14:paraId="2ED5AF28" w14:textId="77777777">
        <w:tc>
          <w:tcPr>
            <w:tcW w:w="2400" w:type="dxa"/>
            <w:tcBorders>
              <w:top w:val="nil"/>
              <w:left w:val="nil"/>
              <w:bottom w:val="nil"/>
              <w:right w:val="nil"/>
            </w:tcBorders>
            <w:tcMar>
              <w:top w:w="30" w:type="dxa"/>
              <w:left w:w="60" w:type="dxa"/>
              <w:bottom w:w="30" w:type="dxa"/>
              <w:right w:w="60" w:type="dxa"/>
            </w:tcMar>
          </w:tcPr>
          <w:p w14:paraId="2F0DA6CF" w14:textId="77777777" w:rsidR="004C7857" w:rsidRDefault="00000000">
            <w:pPr>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Fizmat</w:t>
            </w:r>
            <w:proofErr w:type="spellEnd"/>
          </w:p>
        </w:tc>
        <w:tc>
          <w:tcPr>
            <w:tcW w:w="1305" w:type="dxa"/>
            <w:tcBorders>
              <w:top w:val="nil"/>
              <w:left w:val="nil"/>
              <w:bottom w:val="nil"/>
              <w:right w:val="nil"/>
            </w:tcBorders>
            <w:tcMar>
              <w:top w:w="30" w:type="dxa"/>
              <w:left w:w="60" w:type="dxa"/>
              <w:bottom w:w="30" w:type="dxa"/>
              <w:right w:w="60" w:type="dxa"/>
            </w:tcMar>
          </w:tcPr>
          <w:p w14:paraId="39C51643"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988</w:t>
            </w:r>
          </w:p>
        </w:tc>
        <w:tc>
          <w:tcPr>
            <w:tcW w:w="3300" w:type="dxa"/>
            <w:tcBorders>
              <w:top w:val="nil"/>
              <w:left w:val="nil"/>
              <w:bottom w:val="nil"/>
              <w:right w:val="nil"/>
            </w:tcBorders>
            <w:tcMar>
              <w:top w:w="30" w:type="dxa"/>
              <w:left w:w="60" w:type="dxa"/>
              <w:bottom w:w="30" w:type="dxa"/>
              <w:right w:w="60" w:type="dxa"/>
            </w:tcMar>
          </w:tcPr>
          <w:p w14:paraId="58F3D19E"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725" w:type="dxa"/>
            <w:tcBorders>
              <w:top w:val="nil"/>
              <w:left w:val="nil"/>
              <w:bottom w:val="nil"/>
              <w:right w:val="nil"/>
            </w:tcBorders>
            <w:tcMar>
              <w:top w:w="30" w:type="dxa"/>
              <w:left w:w="60" w:type="dxa"/>
              <w:bottom w:w="30" w:type="dxa"/>
              <w:right w:w="60" w:type="dxa"/>
            </w:tcMar>
          </w:tcPr>
          <w:p w14:paraId="1CBD8CF7"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4C7857" w14:paraId="1135A52D" w14:textId="77777777">
        <w:tc>
          <w:tcPr>
            <w:tcW w:w="2400" w:type="dxa"/>
            <w:tcBorders>
              <w:top w:val="nil"/>
              <w:left w:val="nil"/>
              <w:bottom w:val="single" w:sz="8" w:space="0" w:color="000000"/>
              <w:right w:val="nil"/>
            </w:tcBorders>
            <w:tcMar>
              <w:top w:w="30" w:type="dxa"/>
              <w:left w:w="60" w:type="dxa"/>
              <w:bottom w:w="30" w:type="dxa"/>
              <w:right w:w="60" w:type="dxa"/>
            </w:tcMar>
          </w:tcPr>
          <w:p w14:paraId="56AD59B0" w14:textId="77777777" w:rsidR="004C7857" w:rsidRDefault="00000000">
            <w:pPr>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IQanat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Burabay</w:t>
            </w:r>
            <w:proofErr w:type="spellEnd"/>
          </w:p>
        </w:tc>
        <w:tc>
          <w:tcPr>
            <w:tcW w:w="1305" w:type="dxa"/>
            <w:tcBorders>
              <w:top w:val="nil"/>
              <w:left w:val="nil"/>
              <w:bottom w:val="single" w:sz="8" w:space="0" w:color="000000"/>
              <w:right w:val="nil"/>
            </w:tcBorders>
            <w:tcMar>
              <w:top w:w="30" w:type="dxa"/>
              <w:left w:w="60" w:type="dxa"/>
              <w:bottom w:w="30" w:type="dxa"/>
              <w:right w:w="60" w:type="dxa"/>
            </w:tcMar>
          </w:tcPr>
          <w:p w14:paraId="53568BB4"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p>
        </w:tc>
        <w:tc>
          <w:tcPr>
            <w:tcW w:w="3300" w:type="dxa"/>
            <w:tcBorders>
              <w:top w:val="nil"/>
              <w:left w:val="nil"/>
              <w:bottom w:val="single" w:sz="8" w:space="0" w:color="000000"/>
              <w:right w:val="nil"/>
            </w:tcBorders>
            <w:tcMar>
              <w:top w:w="30" w:type="dxa"/>
              <w:left w:w="60" w:type="dxa"/>
              <w:bottom w:w="30" w:type="dxa"/>
              <w:right w:w="60" w:type="dxa"/>
            </w:tcMar>
          </w:tcPr>
          <w:p w14:paraId="3A3A5F45"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725" w:type="dxa"/>
            <w:tcBorders>
              <w:top w:val="nil"/>
              <w:left w:val="nil"/>
              <w:bottom w:val="single" w:sz="8" w:space="0" w:color="000000"/>
              <w:right w:val="nil"/>
            </w:tcBorders>
            <w:tcMar>
              <w:top w:w="30" w:type="dxa"/>
              <w:left w:w="60" w:type="dxa"/>
              <w:bottom w:w="30" w:type="dxa"/>
              <w:right w:w="60" w:type="dxa"/>
            </w:tcMar>
          </w:tcPr>
          <w:p w14:paraId="6C659C9A"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4C7857" w14:paraId="3BE1813C" w14:textId="77777777">
        <w:tc>
          <w:tcPr>
            <w:tcW w:w="2400" w:type="dxa"/>
            <w:tcBorders>
              <w:top w:val="nil"/>
              <w:left w:val="nil"/>
              <w:bottom w:val="single" w:sz="8" w:space="0" w:color="000000"/>
              <w:right w:val="nil"/>
            </w:tcBorders>
            <w:tcMar>
              <w:top w:w="30" w:type="dxa"/>
              <w:left w:w="60" w:type="dxa"/>
              <w:bottom w:w="30" w:type="dxa"/>
              <w:right w:w="60" w:type="dxa"/>
            </w:tcMar>
          </w:tcPr>
          <w:p w14:paraId="520E721C" w14:textId="77777777" w:rsidR="004C7857" w:rsidRDefault="0000000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All schools</w:t>
            </w:r>
          </w:p>
        </w:tc>
        <w:tc>
          <w:tcPr>
            <w:tcW w:w="1305" w:type="dxa"/>
            <w:tcBorders>
              <w:top w:val="nil"/>
              <w:left w:val="nil"/>
              <w:bottom w:val="single" w:sz="8" w:space="0" w:color="000000"/>
              <w:right w:val="nil"/>
            </w:tcBorders>
            <w:tcMar>
              <w:top w:w="30" w:type="dxa"/>
              <w:left w:w="60" w:type="dxa"/>
              <w:bottom w:w="30" w:type="dxa"/>
              <w:right w:w="60" w:type="dxa"/>
            </w:tcMar>
          </w:tcPr>
          <w:p w14:paraId="0F3C6FF2"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499,150</w:t>
            </w:r>
          </w:p>
        </w:tc>
        <w:tc>
          <w:tcPr>
            <w:tcW w:w="3300" w:type="dxa"/>
            <w:tcBorders>
              <w:top w:val="nil"/>
              <w:left w:val="nil"/>
              <w:bottom w:val="single" w:sz="8" w:space="0" w:color="000000"/>
              <w:right w:val="nil"/>
            </w:tcBorders>
            <w:tcMar>
              <w:top w:w="30" w:type="dxa"/>
              <w:left w:w="60" w:type="dxa"/>
              <w:bottom w:w="30" w:type="dxa"/>
              <w:right w:w="60" w:type="dxa"/>
            </w:tcMar>
          </w:tcPr>
          <w:p w14:paraId="1C9F4D3D"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725" w:type="dxa"/>
            <w:tcBorders>
              <w:top w:val="nil"/>
              <w:left w:val="nil"/>
              <w:bottom w:val="single" w:sz="8" w:space="0" w:color="000000"/>
              <w:right w:val="nil"/>
            </w:tcBorders>
            <w:tcMar>
              <w:top w:w="30" w:type="dxa"/>
              <w:left w:w="60" w:type="dxa"/>
              <w:bottom w:w="30" w:type="dxa"/>
              <w:right w:w="60" w:type="dxa"/>
            </w:tcMar>
          </w:tcPr>
          <w:p w14:paraId="2662EB16" w14:textId="77777777" w:rsidR="004C7857"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C7857" w14:paraId="6FAE3E5C" w14:textId="77777777">
        <w:trPr>
          <w:trHeight w:val="509"/>
        </w:trPr>
        <w:tc>
          <w:tcPr>
            <w:tcW w:w="8730" w:type="dxa"/>
            <w:gridSpan w:val="4"/>
            <w:tcBorders>
              <w:top w:val="nil"/>
              <w:left w:val="nil"/>
              <w:bottom w:val="nil"/>
              <w:right w:val="nil"/>
            </w:tcBorders>
            <w:tcMar>
              <w:top w:w="30" w:type="dxa"/>
              <w:left w:w="60" w:type="dxa"/>
              <w:bottom w:w="30" w:type="dxa"/>
              <w:right w:w="60" w:type="dxa"/>
            </w:tcMar>
          </w:tcPr>
          <w:p w14:paraId="5527B742" w14:textId="77777777" w:rsidR="004C7857" w:rsidRDefault="00000000">
            <w:pPr>
              <w:spacing w:line="240" w:lineRule="auto"/>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vertAlign w:val="superscript"/>
              </w:rPr>
              <w:t>a</w:t>
            </w:r>
            <w:r>
              <w:rPr>
                <w:rFonts w:ascii="Times New Roman" w:eastAsia="Times New Roman" w:hAnsi="Times New Roman" w:cs="Times New Roman"/>
                <w:sz w:val="20"/>
                <w:szCs w:val="20"/>
                <w:highlight w:val="white"/>
              </w:rPr>
              <w:t xml:space="preserve"> “Other selective school” category includes all schools with exam-based admissions except for NIS, BIL, </w:t>
            </w:r>
            <w:proofErr w:type="spellStart"/>
            <w:r>
              <w:rPr>
                <w:rFonts w:ascii="Times New Roman" w:eastAsia="Times New Roman" w:hAnsi="Times New Roman" w:cs="Times New Roman"/>
                <w:sz w:val="20"/>
                <w:szCs w:val="20"/>
                <w:highlight w:val="white"/>
              </w:rPr>
              <w:t>Fizmat</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Daryn</w:t>
            </w:r>
            <w:proofErr w:type="spellEnd"/>
            <w:r>
              <w:rPr>
                <w:rFonts w:ascii="Times New Roman" w:eastAsia="Times New Roman" w:hAnsi="Times New Roman" w:cs="Times New Roman"/>
                <w:sz w:val="20"/>
                <w:szCs w:val="20"/>
                <w:highlight w:val="white"/>
              </w:rPr>
              <w:t xml:space="preserve">, and </w:t>
            </w:r>
            <w:proofErr w:type="spellStart"/>
            <w:r>
              <w:rPr>
                <w:rFonts w:ascii="Times New Roman" w:eastAsia="Times New Roman" w:hAnsi="Times New Roman" w:cs="Times New Roman"/>
                <w:sz w:val="20"/>
                <w:szCs w:val="20"/>
                <w:highlight w:val="white"/>
              </w:rPr>
              <w:t>IQanat</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Burabay</w:t>
            </w:r>
            <w:proofErr w:type="spellEnd"/>
            <w:r>
              <w:rPr>
                <w:rFonts w:ascii="Times New Roman" w:eastAsia="Times New Roman" w:hAnsi="Times New Roman" w:cs="Times New Roman"/>
                <w:sz w:val="20"/>
                <w:szCs w:val="20"/>
                <w:highlight w:val="white"/>
              </w:rPr>
              <w:t xml:space="preserve"> schools. </w:t>
            </w:r>
          </w:p>
        </w:tc>
      </w:tr>
    </w:tbl>
    <w:p w14:paraId="0A9B3208" w14:textId="77777777" w:rsidR="004C7857" w:rsidRDefault="004C7857">
      <w:pPr>
        <w:spacing w:line="240" w:lineRule="auto"/>
        <w:rPr>
          <w:rFonts w:ascii="Times New Roman" w:eastAsia="Times New Roman" w:hAnsi="Times New Roman" w:cs="Times New Roman"/>
          <w:sz w:val="24"/>
          <w:szCs w:val="24"/>
        </w:rPr>
      </w:pPr>
    </w:p>
    <w:p w14:paraId="7EDB11E1" w14:textId="77777777" w:rsidR="004C7857" w:rsidRDefault="004C7857">
      <w:pPr>
        <w:spacing w:line="240" w:lineRule="auto"/>
        <w:rPr>
          <w:rFonts w:ascii="Times New Roman" w:eastAsia="Times New Roman" w:hAnsi="Times New Roman" w:cs="Times New Roman"/>
          <w:sz w:val="24"/>
          <w:szCs w:val="24"/>
        </w:rPr>
      </w:pPr>
    </w:p>
    <w:p w14:paraId="3549CEB0" w14:textId="77777777" w:rsidR="004C7857" w:rsidRDefault="00000000">
      <w:pPr>
        <w:spacing w:line="240" w:lineRule="auto"/>
        <w:rPr>
          <w:rFonts w:ascii="Times New Roman" w:eastAsia="Times New Roman" w:hAnsi="Times New Roman" w:cs="Times New Roman"/>
          <w:b/>
          <w:bCs/>
          <w:sz w:val="24"/>
          <w:szCs w:val="24"/>
        </w:rPr>
      </w:pPr>
      <w:r>
        <w:br w:type="page"/>
      </w:r>
    </w:p>
    <w:p w14:paraId="6B8B09C8" w14:textId="77777777" w:rsidR="004C7857"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3</w:t>
      </w:r>
    </w:p>
    <w:p w14:paraId="5003214F"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Predictors of NU enrollment (</w:t>
      </w:r>
      <w:r>
        <w:rPr>
          <w:rFonts w:ascii="Times New Roman" w:eastAsia="Times New Roman" w:hAnsi="Times New Roman" w:cs="Times New Roman"/>
          <w:sz w:val="24"/>
          <w:szCs w:val="24"/>
        </w:rPr>
        <w:t>N</w:t>
      </w:r>
      <w:r>
        <w:rPr>
          <w:rFonts w:ascii="Times New Roman" w:eastAsia="Times New Roman" w:hAnsi="Times New Roman" w:cs="Times New Roman"/>
          <w:i/>
          <w:iCs/>
          <w:sz w:val="24"/>
          <w:szCs w:val="24"/>
        </w:rPr>
        <w:t xml:space="preserve"> = 499,150)</w:t>
      </w:r>
    </w:p>
    <w:tbl>
      <w:tblPr>
        <w:tblStyle w:val="a1"/>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55"/>
        <w:gridCol w:w="1290"/>
        <w:gridCol w:w="1395"/>
      </w:tblGrid>
      <w:tr w:rsidR="004C7857" w14:paraId="33956C20" w14:textId="77777777">
        <w:tc>
          <w:tcPr>
            <w:tcW w:w="6255" w:type="dxa"/>
            <w:tcBorders>
              <w:top w:val="single" w:sz="8" w:space="0" w:color="000000"/>
              <w:left w:val="nil"/>
              <w:bottom w:val="single" w:sz="4" w:space="0" w:color="000000"/>
              <w:right w:val="nil"/>
            </w:tcBorders>
            <w:tcMar>
              <w:top w:w="30" w:type="dxa"/>
              <w:left w:w="60" w:type="dxa"/>
              <w:bottom w:w="30" w:type="dxa"/>
              <w:right w:w="60" w:type="dxa"/>
            </w:tcMar>
          </w:tcPr>
          <w:p w14:paraId="2321C405"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Variable</w:t>
            </w:r>
          </w:p>
        </w:tc>
        <w:tc>
          <w:tcPr>
            <w:tcW w:w="1290" w:type="dxa"/>
            <w:tcBorders>
              <w:top w:val="single" w:sz="8" w:space="0" w:color="000000"/>
              <w:left w:val="nil"/>
              <w:bottom w:val="single" w:sz="4" w:space="0" w:color="000000"/>
              <w:right w:val="nil"/>
            </w:tcBorders>
            <w:tcMar>
              <w:top w:w="30" w:type="dxa"/>
              <w:left w:w="60" w:type="dxa"/>
              <w:bottom w:w="30" w:type="dxa"/>
              <w:right w:w="60" w:type="dxa"/>
            </w:tcMar>
          </w:tcPr>
          <w:p w14:paraId="6169B201"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Coef.</w:t>
            </w:r>
          </w:p>
        </w:tc>
        <w:tc>
          <w:tcPr>
            <w:tcW w:w="1395" w:type="dxa"/>
            <w:tcBorders>
              <w:top w:val="single" w:sz="8" w:space="0" w:color="000000"/>
              <w:left w:val="nil"/>
              <w:bottom w:val="single" w:sz="4" w:space="0" w:color="000000"/>
              <w:right w:val="nil"/>
            </w:tcBorders>
            <w:tcMar>
              <w:top w:w="30" w:type="dxa"/>
              <w:left w:w="60" w:type="dxa"/>
              <w:bottom w:w="30" w:type="dxa"/>
              <w:right w:w="60" w:type="dxa"/>
            </w:tcMar>
          </w:tcPr>
          <w:p w14:paraId="2EDEC76D"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(SE)</w:t>
            </w:r>
          </w:p>
        </w:tc>
      </w:tr>
      <w:tr w:rsidR="004C7857" w14:paraId="759FA4BB" w14:textId="77777777">
        <w:tc>
          <w:tcPr>
            <w:tcW w:w="6255" w:type="dxa"/>
            <w:tcBorders>
              <w:top w:val="nil"/>
              <w:left w:val="nil"/>
              <w:bottom w:val="nil"/>
              <w:right w:val="nil"/>
            </w:tcBorders>
            <w:tcMar>
              <w:top w:w="30" w:type="dxa"/>
              <w:left w:w="60" w:type="dxa"/>
              <w:bottom w:w="30" w:type="dxa"/>
              <w:right w:w="60" w:type="dxa"/>
            </w:tcMar>
          </w:tcPr>
          <w:p w14:paraId="0661E510"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School Type:</w:t>
            </w:r>
          </w:p>
        </w:tc>
        <w:tc>
          <w:tcPr>
            <w:tcW w:w="1290" w:type="dxa"/>
            <w:tcBorders>
              <w:top w:val="nil"/>
              <w:left w:val="nil"/>
              <w:bottom w:val="nil"/>
              <w:right w:val="nil"/>
            </w:tcBorders>
            <w:tcMar>
              <w:top w:w="30" w:type="dxa"/>
              <w:left w:w="60" w:type="dxa"/>
              <w:bottom w:w="30" w:type="dxa"/>
              <w:right w:w="60" w:type="dxa"/>
            </w:tcMar>
          </w:tcPr>
          <w:p w14:paraId="749D5DB1" w14:textId="77777777" w:rsidR="004C7857" w:rsidRDefault="004C7857">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30" w:type="dxa"/>
              <w:left w:w="60" w:type="dxa"/>
              <w:bottom w:w="30" w:type="dxa"/>
              <w:right w:w="60" w:type="dxa"/>
            </w:tcMar>
          </w:tcPr>
          <w:p w14:paraId="5420490F" w14:textId="77777777" w:rsidR="004C7857" w:rsidRDefault="004C7857">
            <w:pPr>
              <w:spacing w:line="240" w:lineRule="auto"/>
              <w:jc w:val="center"/>
              <w:rPr>
                <w:rFonts w:ascii="Times New Roman" w:eastAsia="Times New Roman" w:hAnsi="Times New Roman" w:cs="Times New Roman"/>
              </w:rPr>
            </w:pPr>
          </w:p>
        </w:tc>
      </w:tr>
      <w:tr w:rsidR="004C7857" w14:paraId="789CA8D8" w14:textId="77777777">
        <w:tc>
          <w:tcPr>
            <w:tcW w:w="6255" w:type="dxa"/>
            <w:tcBorders>
              <w:top w:val="nil"/>
              <w:left w:val="nil"/>
              <w:bottom w:val="nil"/>
              <w:right w:val="nil"/>
            </w:tcBorders>
            <w:tcMar>
              <w:top w:w="30" w:type="dxa"/>
              <w:left w:w="60" w:type="dxa"/>
              <w:bottom w:w="30" w:type="dxa"/>
              <w:right w:w="60" w:type="dxa"/>
            </w:tcMar>
          </w:tcPr>
          <w:p w14:paraId="087F8370"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Rural public school</w:t>
            </w:r>
          </w:p>
        </w:tc>
        <w:tc>
          <w:tcPr>
            <w:tcW w:w="1290" w:type="dxa"/>
            <w:tcBorders>
              <w:top w:val="nil"/>
              <w:left w:val="nil"/>
              <w:bottom w:val="nil"/>
              <w:right w:val="nil"/>
            </w:tcBorders>
            <w:tcMar>
              <w:top w:w="30" w:type="dxa"/>
              <w:left w:w="60" w:type="dxa"/>
              <w:bottom w:w="30" w:type="dxa"/>
              <w:right w:w="60" w:type="dxa"/>
            </w:tcMar>
          </w:tcPr>
          <w:p w14:paraId="1EE20993"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–1.08***</w:t>
            </w:r>
          </w:p>
        </w:tc>
        <w:tc>
          <w:tcPr>
            <w:tcW w:w="1395" w:type="dxa"/>
            <w:tcBorders>
              <w:top w:val="nil"/>
              <w:left w:val="nil"/>
              <w:bottom w:val="nil"/>
              <w:right w:val="nil"/>
            </w:tcBorders>
            <w:tcMar>
              <w:top w:w="30" w:type="dxa"/>
              <w:left w:w="60" w:type="dxa"/>
              <w:bottom w:w="30" w:type="dxa"/>
              <w:right w:w="60" w:type="dxa"/>
            </w:tcMar>
          </w:tcPr>
          <w:p w14:paraId="6096147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(0.20)</w:t>
            </w:r>
          </w:p>
        </w:tc>
      </w:tr>
      <w:tr w:rsidR="004C7857" w14:paraId="41EAF394" w14:textId="77777777">
        <w:tc>
          <w:tcPr>
            <w:tcW w:w="6255" w:type="dxa"/>
            <w:tcBorders>
              <w:top w:val="nil"/>
              <w:left w:val="nil"/>
              <w:bottom w:val="nil"/>
              <w:right w:val="nil"/>
            </w:tcBorders>
            <w:tcMar>
              <w:top w:w="30" w:type="dxa"/>
              <w:left w:w="60" w:type="dxa"/>
              <w:bottom w:w="30" w:type="dxa"/>
              <w:right w:w="60" w:type="dxa"/>
            </w:tcMar>
          </w:tcPr>
          <w:p w14:paraId="2D065178"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Multigrade</w:t>
            </w:r>
          </w:p>
        </w:tc>
        <w:tc>
          <w:tcPr>
            <w:tcW w:w="1290" w:type="dxa"/>
            <w:tcBorders>
              <w:top w:val="nil"/>
              <w:left w:val="nil"/>
              <w:bottom w:val="nil"/>
              <w:right w:val="nil"/>
            </w:tcBorders>
            <w:tcMar>
              <w:top w:w="30" w:type="dxa"/>
              <w:left w:w="60" w:type="dxa"/>
              <w:bottom w:w="30" w:type="dxa"/>
              <w:right w:w="60" w:type="dxa"/>
            </w:tcMar>
          </w:tcPr>
          <w:p w14:paraId="66702AC1"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–1.18***</w:t>
            </w:r>
          </w:p>
        </w:tc>
        <w:tc>
          <w:tcPr>
            <w:tcW w:w="1395" w:type="dxa"/>
            <w:tcBorders>
              <w:top w:val="nil"/>
              <w:left w:val="nil"/>
              <w:bottom w:val="nil"/>
              <w:right w:val="nil"/>
            </w:tcBorders>
            <w:tcMar>
              <w:top w:w="30" w:type="dxa"/>
              <w:left w:w="60" w:type="dxa"/>
              <w:bottom w:w="30" w:type="dxa"/>
              <w:right w:w="60" w:type="dxa"/>
            </w:tcMar>
          </w:tcPr>
          <w:p w14:paraId="782516D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(0.43)</w:t>
            </w:r>
          </w:p>
        </w:tc>
      </w:tr>
      <w:tr w:rsidR="004C7857" w14:paraId="701DD47A" w14:textId="77777777">
        <w:tc>
          <w:tcPr>
            <w:tcW w:w="6255" w:type="dxa"/>
            <w:tcBorders>
              <w:top w:val="nil"/>
              <w:left w:val="nil"/>
              <w:bottom w:val="nil"/>
              <w:right w:val="nil"/>
            </w:tcBorders>
            <w:tcMar>
              <w:top w:w="30" w:type="dxa"/>
              <w:left w:w="60" w:type="dxa"/>
              <w:bottom w:w="30" w:type="dxa"/>
              <w:right w:w="60" w:type="dxa"/>
            </w:tcMar>
          </w:tcPr>
          <w:p w14:paraId="6D8F3FC4"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Gymnasium / lyceum</w:t>
            </w:r>
          </w:p>
        </w:tc>
        <w:tc>
          <w:tcPr>
            <w:tcW w:w="1290" w:type="dxa"/>
            <w:tcBorders>
              <w:top w:val="nil"/>
              <w:left w:val="nil"/>
              <w:bottom w:val="nil"/>
              <w:right w:val="nil"/>
            </w:tcBorders>
            <w:tcMar>
              <w:top w:w="30" w:type="dxa"/>
              <w:left w:w="60" w:type="dxa"/>
              <w:bottom w:w="30" w:type="dxa"/>
              <w:right w:w="60" w:type="dxa"/>
            </w:tcMar>
          </w:tcPr>
          <w:p w14:paraId="2B8E3B9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0.50***</w:t>
            </w:r>
          </w:p>
        </w:tc>
        <w:tc>
          <w:tcPr>
            <w:tcW w:w="1395" w:type="dxa"/>
            <w:tcBorders>
              <w:top w:val="nil"/>
              <w:left w:val="nil"/>
              <w:bottom w:val="nil"/>
              <w:right w:val="nil"/>
            </w:tcBorders>
            <w:tcMar>
              <w:top w:w="30" w:type="dxa"/>
              <w:left w:w="60" w:type="dxa"/>
              <w:bottom w:w="30" w:type="dxa"/>
              <w:right w:w="60" w:type="dxa"/>
            </w:tcMar>
          </w:tcPr>
          <w:p w14:paraId="0A90CD3A"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(0.12)</w:t>
            </w:r>
          </w:p>
        </w:tc>
      </w:tr>
      <w:tr w:rsidR="004C7857" w14:paraId="109A203D" w14:textId="77777777">
        <w:tc>
          <w:tcPr>
            <w:tcW w:w="6255" w:type="dxa"/>
            <w:tcBorders>
              <w:top w:val="nil"/>
              <w:left w:val="nil"/>
              <w:bottom w:val="nil"/>
              <w:right w:val="nil"/>
            </w:tcBorders>
            <w:tcMar>
              <w:top w:w="30" w:type="dxa"/>
              <w:left w:w="60" w:type="dxa"/>
              <w:bottom w:w="30" w:type="dxa"/>
              <w:right w:w="60" w:type="dxa"/>
            </w:tcMar>
          </w:tcPr>
          <w:p w14:paraId="436D452E"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Private school</w:t>
            </w:r>
          </w:p>
        </w:tc>
        <w:tc>
          <w:tcPr>
            <w:tcW w:w="1290" w:type="dxa"/>
            <w:tcBorders>
              <w:top w:val="nil"/>
              <w:left w:val="nil"/>
              <w:bottom w:val="nil"/>
              <w:right w:val="nil"/>
            </w:tcBorders>
            <w:tcMar>
              <w:top w:w="30" w:type="dxa"/>
              <w:left w:w="60" w:type="dxa"/>
              <w:bottom w:w="30" w:type="dxa"/>
              <w:right w:w="60" w:type="dxa"/>
            </w:tcMar>
          </w:tcPr>
          <w:p w14:paraId="5203CF1A"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1395" w:type="dxa"/>
            <w:tcBorders>
              <w:top w:val="nil"/>
              <w:left w:val="nil"/>
              <w:bottom w:val="nil"/>
              <w:right w:val="nil"/>
            </w:tcBorders>
            <w:tcMar>
              <w:top w:w="30" w:type="dxa"/>
              <w:left w:w="60" w:type="dxa"/>
              <w:bottom w:w="30" w:type="dxa"/>
              <w:right w:w="60" w:type="dxa"/>
            </w:tcMar>
          </w:tcPr>
          <w:p w14:paraId="772CE6A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(0.16)</w:t>
            </w:r>
          </w:p>
        </w:tc>
      </w:tr>
      <w:tr w:rsidR="004C7857" w14:paraId="17E5AC4B" w14:textId="77777777">
        <w:tc>
          <w:tcPr>
            <w:tcW w:w="6255" w:type="dxa"/>
            <w:tcBorders>
              <w:top w:val="nil"/>
              <w:left w:val="nil"/>
              <w:bottom w:val="nil"/>
              <w:right w:val="nil"/>
            </w:tcBorders>
            <w:tcMar>
              <w:top w:w="30" w:type="dxa"/>
              <w:left w:w="60" w:type="dxa"/>
              <w:bottom w:w="30" w:type="dxa"/>
              <w:right w:w="60" w:type="dxa"/>
            </w:tcMar>
          </w:tcPr>
          <w:p w14:paraId="03D39037"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NIS</w:t>
            </w:r>
          </w:p>
        </w:tc>
        <w:tc>
          <w:tcPr>
            <w:tcW w:w="1290" w:type="dxa"/>
            <w:tcBorders>
              <w:top w:val="nil"/>
              <w:left w:val="nil"/>
              <w:bottom w:val="nil"/>
              <w:right w:val="nil"/>
            </w:tcBorders>
            <w:tcMar>
              <w:top w:w="30" w:type="dxa"/>
              <w:left w:w="60" w:type="dxa"/>
              <w:bottom w:w="30" w:type="dxa"/>
              <w:right w:w="60" w:type="dxa"/>
            </w:tcMar>
          </w:tcPr>
          <w:p w14:paraId="66504F7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3.57***</w:t>
            </w:r>
          </w:p>
        </w:tc>
        <w:tc>
          <w:tcPr>
            <w:tcW w:w="1395" w:type="dxa"/>
            <w:tcBorders>
              <w:top w:val="nil"/>
              <w:left w:val="nil"/>
              <w:bottom w:val="nil"/>
              <w:right w:val="nil"/>
            </w:tcBorders>
            <w:tcMar>
              <w:top w:w="30" w:type="dxa"/>
              <w:left w:w="60" w:type="dxa"/>
              <w:bottom w:w="30" w:type="dxa"/>
              <w:right w:w="60" w:type="dxa"/>
            </w:tcMar>
          </w:tcPr>
          <w:p w14:paraId="32057EF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(0.44)</w:t>
            </w:r>
          </w:p>
        </w:tc>
      </w:tr>
      <w:tr w:rsidR="004C7857" w14:paraId="04C9D98F" w14:textId="77777777">
        <w:tc>
          <w:tcPr>
            <w:tcW w:w="6255" w:type="dxa"/>
            <w:tcBorders>
              <w:top w:val="nil"/>
              <w:left w:val="nil"/>
              <w:bottom w:val="nil"/>
              <w:right w:val="nil"/>
            </w:tcBorders>
            <w:tcMar>
              <w:top w:w="30" w:type="dxa"/>
              <w:left w:w="60" w:type="dxa"/>
              <w:bottom w:w="30" w:type="dxa"/>
              <w:right w:w="60" w:type="dxa"/>
            </w:tcMar>
          </w:tcPr>
          <w:p w14:paraId="610F80CD"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BIL</w:t>
            </w:r>
          </w:p>
        </w:tc>
        <w:tc>
          <w:tcPr>
            <w:tcW w:w="1290" w:type="dxa"/>
            <w:tcBorders>
              <w:top w:val="nil"/>
              <w:left w:val="nil"/>
              <w:bottom w:val="nil"/>
              <w:right w:val="nil"/>
            </w:tcBorders>
            <w:tcMar>
              <w:top w:w="30" w:type="dxa"/>
              <w:left w:w="60" w:type="dxa"/>
              <w:bottom w:w="30" w:type="dxa"/>
              <w:right w:w="60" w:type="dxa"/>
            </w:tcMar>
          </w:tcPr>
          <w:p w14:paraId="2ACD2439"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2.14***</w:t>
            </w:r>
          </w:p>
        </w:tc>
        <w:tc>
          <w:tcPr>
            <w:tcW w:w="1395" w:type="dxa"/>
            <w:tcBorders>
              <w:top w:val="nil"/>
              <w:left w:val="nil"/>
              <w:bottom w:val="nil"/>
              <w:right w:val="nil"/>
            </w:tcBorders>
            <w:tcMar>
              <w:top w:w="30" w:type="dxa"/>
              <w:left w:w="60" w:type="dxa"/>
              <w:bottom w:w="30" w:type="dxa"/>
              <w:right w:w="60" w:type="dxa"/>
            </w:tcMar>
          </w:tcPr>
          <w:p w14:paraId="1AF359D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(0.28)</w:t>
            </w:r>
          </w:p>
        </w:tc>
      </w:tr>
      <w:tr w:rsidR="004C7857" w14:paraId="24AA36FA" w14:textId="77777777">
        <w:tc>
          <w:tcPr>
            <w:tcW w:w="6255" w:type="dxa"/>
            <w:tcBorders>
              <w:top w:val="nil"/>
              <w:left w:val="nil"/>
              <w:bottom w:val="nil"/>
              <w:right w:val="nil"/>
            </w:tcBorders>
            <w:tcMar>
              <w:top w:w="30" w:type="dxa"/>
              <w:left w:w="60" w:type="dxa"/>
              <w:bottom w:w="30" w:type="dxa"/>
              <w:right w:w="60" w:type="dxa"/>
            </w:tcMar>
          </w:tcPr>
          <w:p w14:paraId="4EABF7A0"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International school</w:t>
            </w:r>
          </w:p>
        </w:tc>
        <w:tc>
          <w:tcPr>
            <w:tcW w:w="1290" w:type="dxa"/>
            <w:tcBorders>
              <w:top w:val="nil"/>
              <w:left w:val="nil"/>
              <w:bottom w:val="nil"/>
              <w:right w:val="nil"/>
            </w:tcBorders>
            <w:tcMar>
              <w:top w:w="30" w:type="dxa"/>
              <w:left w:w="60" w:type="dxa"/>
              <w:bottom w:w="30" w:type="dxa"/>
              <w:right w:w="60" w:type="dxa"/>
            </w:tcMar>
          </w:tcPr>
          <w:p w14:paraId="3647833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1.68***</w:t>
            </w:r>
          </w:p>
        </w:tc>
        <w:tc>
          <w:tcPr>
            <w:tcW w:w="1395" w:type="dxa"/>
            <w:tcBorders>
              <w:top w:val="nil"/>
              <w:left w:val="nil"/>
              <w:bottom w:val="nil"/>
              <w:right w:val="nil"/>
            </w:tcBorders>
            <w:tcMar>
              <w:top w:w="30" w:type="dxa"/>
              <w:left w:w="60" w:type="dxa"/>
              <w:bottom w:w="30" w:type="dxa"/>
              <w:right w:w="60" w:type="dxa"/>
            </w:tcMar>
          </w:tcPr>
          <w:p w14:paraId="70811FB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(0.34)</w:t>
            </w:r>
          </w:p>
        </w:tc>
      </w:tr>
      <w:tr w:rsidR="004C7857" w14:paraId="3B91D61E" w14:textId="77777777">
        <w:tc>
          <w:tcPr>
            <w:tcW w:w="6255" w:type="dxa"/>
            <w:tcBorders>
              <w:top w:val="nil"/>
              <w:left w:val="nil"/>
              <w:bottom w:val="nil"/>
              <w:right w:val="nil"/>
            </w:tcBorders>
            <w:tcMar>
              <w:top w:w="30" w:type="dxa"/>
              <w:left w:w="60" w:type="dxa"/>
              <w:bottom w:w="30" w:type="dxa"/>
              <w:right w:w="60" w:type="dxa"/>
            </w:tcMar>
          </w:tcPr>
          <w:p w14:paraId="310BCE97"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Daryn</w:t>
            </w:r>
            <w:proofErr w:type="spellEnd"/>
          </w:p>
        </w:tc>
        <w:tc>
          <w:tcPr>
            <w:tcW w:w="1290" w:type="dxa"/>
            <w:tcBorders>
              <w:top w:val="nil"/>
              <w:left w:val="nil"/>
              <w:bottom w:val="nil"/>
              <w:right w:val="nil"/>
            </w:tcBorders>
            <w:tcMar>
              <w:top w:w="30" w:type="dxa"/>
              <w:left w:w="60" w:type="dxa"/>
              <w:bottom w:w="30" w:type="dxa"/>
              <w:right w:w="60" w:type="dxa"/>
            </w:tcMar>
          </w:tcPr>
          <w:p w14:paraId="2D01526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1.49***</w:t>
            </w:r>
          </w:p>
        </w:tc>
        <w:tc>
          <w:tcPr>
            <w:tcW w:w="1395" w:type="dxa"/>
            <w:tcBorders>
              <w:top w:val="nil"/>
              <w:left w:val="nil"/>
              <w:bottom w:val="nil"/>
              <w:right w:val="nil"/>
            </w:tcBorders>
            <w:tcMar>
              <w:top w:w="30" w:type="dxa"/>
              <w:left w:w="60" w:type="dxa"/>
              <w:bottom w:w="30" w:type="dxa"/>
              <w:right w:w="60" w:type="dxa"/>
            </w:tcMar>
          </w:tcPr>
          <w:p w14:paraId="26C3AB5D"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(0.29)</w:t>
            </w:r>
          </w:p>
        </w:tc>
      </w:tr>
      <w:tr w:rsidR="004C7857" w14:paraId="75DBCD2E" w14:textId="77777777">
        <w:tc>
          <w:tcPr>
            <w:tcW w:w="6255" w:type="dxa"/>
            <w:tcBorders>
              <w:top w:val="nil"/>
              <w:left w:val="nil"/>
              <w:bottom w:val="nil"/>
              <w:right w:val="nil"/>
            </w:tcBorders>
            <w:tcMar>
              <w:top w:w="30" w:type="dxa"/>
              <w:left w:w="60" w:type="dxa"/>
              <w:bottom w:w="30" w:type="dxa"/>
              <w:right w:w="60" w:type="dxa"/>
            </w:tcMar>
          </w:tcPr>
          <w:p w14:paraId="64D013BD"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Fizmat</w:t>
            </w:r>
            <w:proofErr w:type="spellEnd"/>
          </w:p>
        </w:tc>
        <w:tc>
          <w:tcPr>
            <w:tcW w:w="1290" w:type="dxa"/>
            <w:tcBorders>
              <w:top w:val="nil"/>
              <w:left w:val="nil"/>
              <w:bottom w:val="nil"/>
              <w:right w:val="nil"/>
            </w:tcBorders>
            <w:tcMar>
              <w:top w:w="30" w:type="dxa"/>
              <w:left w:w="60" w:type="dxa"/>
              <w:bottom w:w="30" w:type="dxa"/>
              <w:right w:w="60" w:type="dxa"/>
            </w:tcMar>
          </w:tcPr>
          <w:p w14:paraId="1D922782"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2.83***</w:t>
            </w:r>
          </w:p>
        </w:tc>
        <w:tc>
          <w:tcPr>
            <w:tcW w:w="1395" w:type="dxa"/>
            <w:tcBorders>
              <w:top w:val="nil"/>
              <w:left w:val="nil"/>
              <w:bottom w:val="nil"/>
              <w:right w:val="nil"/>
            </w:tcBorders>
            <w:tcMar>
              <w:top w:w="30" w:type="dxa"/>
              <w:left w:w="60" w:type="dxa"/>
              <w:bottom w:w="30" w:type="dxa"/>
              <w:right w:w="60" w:type="dxa"/>
            </w:tcMar>
          </w:tcPr>
          <w:p w14:paraId="0B0264A5"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(0.39)</w:t>
            </w:r>
          </w:p>
        </w:tc>
      </w:tr>
      <w:tr w:rsidR="004C7857" w14:paraId="2D59C2E1" w14:textId="77777777">
        <w:tc>
          <w:tcPr>
            <w:tcW w:w="6255" w:type="dxa"/>
            <w:tcBorders>
              <w:top w:val="nil"/>
              <w:left w:val="nil"/>
              <w:bottom w:val="nil"/>
              <w:right w:val="nil"/>
            </w:tcBorders>
            <w:tcMar>
              <w:top w:w="30" w:type="dxa"/>
              <w:left w:w="60" w:type="dxa"/>
              <w:bottom w:w="30" w:type="dxa"/>
              <w:right w:w="60" w:type="dxa"/>
            </w:tcMar>
          </w:tcPr>
          <w:p w14:paraId="0C5B433E"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IQanat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Burabay</w:t>
            </w:r>
            <w:proofErr w:type="spellEnd"/>
          </w:p>
        </w:tc>
        <w:tc>
          <w:tcPr>
            <w:tcW w:w="1290" w:type="dxa"/>
            <w:tcBorders>
              <w:top w:val="nil"/>
              <w:left w:val="nil"/>
              <w:bottom w:val="nil"/>
              <w:right w:val="nil"/>
            </w:tcBorders>
            <w:tcMar>
              <w:top w:w="30" w:type="dxa"/>
              <w:left w:w="60" w:type="dxa"/>
              <w:bottom w:w="30" w:type="dxa"/>
              <w:right w:w="60" w:type="dxa"/>
            </w:tcMar>
          </w:tcPr>
          <w:p w14:paraId="242F59C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2.14***</w:t>
            </w:r>
          </w:p>
        </w:tc>
        <w:tc>
          <w:tcPr>
            <w:tcW w:w="1395" w:type="dxa"/>
            <w:tcBorders>
              <w:top w:val="nil"/>
              <w:left w:val="nil"/>
              <w:bottom w:val="nil"/>
              <w:right w:val="nil"/>
            </w:tcBorders>
            <w:tcMar>
              <w:top w:w="30" w:type="dxa"/>
              <w:left w:w="60" w:type="dxa"/>
              <w:bottom w:w="30" w:type="dxa"/>
              <w:right w:w="60" w:type="dxa"/>
            </w:tcMar>
          </w:tcPr>
          <w:p w14:paraId="4794AA65"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(0.28)</w:t>
            </w:r>
          </w:p>
        </w:tc>
      </w:tr>
      <w:tr w:rsidR="004C7857" w14:paraId="17B25F49" w14:textId="77777777">
        <w:tc>
          <w:tcPr>
            <w:tcW w:w="6255" w:type="dxa"/>
            <w:tcBorders>
              <w:top w:val="nil"/>
              <w:left w:val="nil"/>
              <w:bottom w:val="nil"/>
              <w:right w:val="nil"/>
            </w:tcBorders>
            <w:tcMar>
              <w:top w:w="30" w:type="dxa"/>
              <w:left w:w="60" w:type="dxa"/>
              <w:bottom w:w="30" w:type="dxa"/>
              <w:right w:w="60" w:type="dxa"/>
            </w:tcMar>
          </w:tcPr>
          <w:p w14:paraId="6795F193"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Other selective school </w:t>
            </w:r>
          </w:p>
        </w:tc>
        <w:tc>
          <w:tcPr>
            <w:tcW w:w="1290" w:type="dxa"/>
            <w:tcBorders>
              <w:top w:val="nil"/>
              <w:left w:val="nil"/>
              <w:bottom w:val="nil"/>
              <w:right w:val="nil"/>
            </w:tcBorders>
            <w:tcMar>
              <w:top w:w="30" w:type="dxa"/>
              <w:left w:w="60" w:type="dxa"/>
              <w:bottom w:w="30" w:type="dxa"/>
              <w:right w:w="60" w:type="dxa"/>
            </w:tcMar>
          </w:tcPr>
          <w:p w14:paraId="7E618B4F"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1.36***</w:t>
            </w:r>
          </w:p>
        </w:tc>
        <w:tc>
          <w:tcPr>
            <w:tcW w:w="1395" w:type="dxa"/>
            <w:tcBorders>
              <w:top w:val="nil"/>
              <w:left w:val="nil"/>
              <w:bottom w:val="nil"/>
              <w:right w:val="nil"/>
            </w:tcBorders>
            <w:tcMar>
              <w:top w:w="30" w:type="dxa"/>
              <w:left w:w="60" w:type="dxa"/>
              <w:bottom w:w="30" w:type="dxa"/>
              <w:right w:w="60" w:type="dxa"/>
            </w:tcMar>
          </w:tcPr>
          <w:p w14:paraId="7F2A6003"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(0.21)</w:t>
            </w:r>
          </w:p>
        </w:tc>
      </w:tr>
      <w:tr w:rsidR="004C7857" w14:paraId="7720672B" w14:textId="77777777">
        <w:tc>
          <w:tcPr>
            <w:tcW w:w="6255" w:type="dxa"/>
            <w:tcBorders>
              <w:top w:val="nil"/>
              <w:left w:val="nil"/>
              <w:bottom w:val="nil"/>
              <w:right w:val="nil"/>
            </w:tcBorders>
            <w:tcMar>
              <w:top w:w="30" w:type="dxa"/>
              <w:left w:w="60" w:type="dxa"/>
              <w:bottom w:w="30" w:type="dxa"/>
              <w:right w:w="60" w:type="dxa"/>
            </w:tcMar>
          </w:tcPr>
          <w:p w14:paraId="30FE214D"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High school diploma with honors</w:t>
            </w:r>
          </w:p>
        </w:tc>
        <w:tc>
          <w:tcPr>
            <w:tcW w:w="1290" w:type="dxa"/>
            <w:tcBorders>
              <w:top w:val="nil"/>
              <w:left w:val="nil"/>
              <w:bottom w:val="nil"/>
              <w:right w:val="nil"/>
            </w:tcBorders>
            <w:tcMar>
              <w:top w:w="30" w:type="dxa"/>
              <w:left w:w="60" w:type="dxa"/>
              <w:bottom w:w="30" w:type="dxa"/>
              <w:right w:w="60" w:type="dxa"/>
            </w:tcMar>
          </w:tcPr>
          <w:p w14:paraId="2050602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0.71***</w:t>
            </w:r>
          </w:p>
        </w:tc>
        <w:tc>
          <w:tcPr>
            <w:tcW w:w="1395" w:type="dxa"/>
            <w:tcBorders>
              <w:top w:val="nil"/>
              <w:left w:val="nil"/>
              <w:bottom w:val="nil"/>
              <w:right w:val="nil"/>
            </w:tcBorders>
            <w:tcMar>
              <w:top w:w="30" w:type="dxa"/>
              <w:left w:w="60" w:type="dxa"/>
              <w:bottom w:w="30" w:type="dxa"/>
              <w:right w:w="60" w:type="dxa"/>
            </w:tcMar>
          </w:tcPr>
          <w:p w14:paraId="4684FE66"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(0.07)</w:t>
            </w:r>
          </w:p>
        </w:tc>
      </w:tr>
      <w:tr w:rsidR="004C7857" w14:paraId="48F1250F" w14:textId="77777777">
        <w:tc>
          <w:tcPr>
            <w:tcW w:w="6255" w:type="dxa"/>
            <w:tcBorders>
              <w:top w:val="nil"/>
              <w:left w:val="nil"/>
              <w:bottom w:val="nil"/>
              <w:right w:val="nil"/>
            </w:tcBorders>
            <w:tcMar>
              <w:top w:w="30" w:type="dxa"/>
              <w:left w:w="60" w:type="dxa"/>
              <w:bottom w:w="30" w:type="dxa"/>
              <w:right w:w="60" w:type="dxa"/>
            </w:tcMar>
          </w:tcPr>
          <w:p w14:paraId="3122CDD7" w14:textId="77777777" w:rsidR="004C785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Altyn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Belgi</w:t>
            </w:r>
            <w:proofErr w:type="spellEnd"/>
            <w:r>
              <w:rPr>
                <w:rFonts w:ascii="Times New Roman" w:eastAsia="Times New Roman" w:hAnsi="Times New Roman" w:cs="Times New Roman"/>
              </w:rPr>
              <w:t xml:space="preserve"> medal</w:t>
            </w:r>
          </w:p>
        </w:tc>
        <w:tc>
          <w:tcPr>
            <w:tcW w:w="1290" w:type="dxa"/>
            <w:tcBorders>
              <w:top w:val="nil"/>
              <w:left w:val="nil"/>
              <w:bottom w:val="nil"/>
              <w:right w:val="nil"/>
            </w:tcBorders>
            <w:tcMar>
              <w:top w:w="30" w:type="dxa"/>
              <w:left w:w="60" w:type="dxa"/>
              <w:bottom w:w="30" w:type="dxa"/>
              <w:right w:w="60" w:type="dxa"/>
            </w:tcMar>
          </w:tcPr>
          <w:p w14:paraId="1F3F764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0.87***</w:t>
            </w:r>
          </w:p>
        </w:tc>
        <w:tc>
          <w:tcPr>
            <w:tcW w:w="1395" w:type="dxa"/>
            <w:tcBorders>
              <w:top w:val="nil"/>
              <w:left w:val="nil"/>
              <w:bottom w:val="nil"/>
              <w:right w:val="nil"/>
            </w:tcBorders>
            <w:tcMar>
              <w:top w:w="30" w:type="dxa"/>
              <w:left w:w="60" w:type="dxa"/>
              <w:bottom w:w="30" w:type="dxa"/>
              <w:right w:w="60" w:type="dxa"/>
            </w:tcMar>
          </w:tcPr>
          <w:p w14:paraId="60A8DB4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(0.09)</w:t>
            </w:r>
          </w:p>
        </w:tc>
      </w:tr>
      <w:tr w:rsidR="004C7857" w14:paraId="2F470F40" w14:textId="77777777">
        <w:tc>
          <w:tcPr>
            <w:tcW w:w="6255" w:type="dxa"/>
            <w:tcBorders>
              <w:top w:val="nil"/>
              <w:left w:val="nil"/>
              <w:bottom w:val="nil"/>
              <w:right w:val="nil"/>
            </w:tcBorders>
            <w:tcMar>
              <w:top w:w="30" w:type="dxa"/>
              <w:left w:w="60" w:type="dxa"/>
              <w:bottom w:w="30" w:type="dxa"/>
              <w:right w:w="60" w:type="dxa"/>
            </w:tcMar>
          </w:tcPr>
          <w:p w14:paraId="66278A5C"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Female</w:t>
            </w:r>
          </w:p>
        </w:tc>
        <w:tc>
          <w:tcPr>
            <w:tcW w:w="1290" w:type="dxa"/>
            <w:tcBorders>
              <w:top w:val="nil"/>
              <w:left w:val="nil"/>
              <w:bottom w:val="nil"/>
              <w:right w:val="nil"/>
            </w:tcBorders>
            <w:tcMar>
              <w:top w:w="30" w:type="dxa"/>
              <w:left w:w="60" w:type="dxa"/>
              <w:bottom w:w="30" w:type="dxa"/>
              <w:right w:w="60" w:type="dxa"/>
            </w:tcMar>
          </w:tcPr>
          <w:p w14:paraId="15F3EA6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–0.11***</w:t>
            </w:r>
          </w:p>
        </w:tc>
        <w:tc>
          <w:tcPr>
            <w:tcW w:w="1395" w:type="dxa"/>
            <w:tcBorders>
              <w:top w:val="nil"/>
              <w:left w:val="nil"/>
              <w:bottom w:val="nil"/>
              <w:right w:val="nil"/>
            </w:tcBorders>
            <w:tcMar>
              <w:top w:w="30" w:type="dxa"/>
              <w:left w:w="60" w:type="dxa"/>
              <w:bottom w:w="30" w:type="dxa"/>
              <w:right w:w="60" w:type="dxa"/>
            </w:tcMar>
          </w:tcPr>
          <w:p w14:paraId="49752CD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(0.03)</w:t>
            </w:r>
          </w:p>
        </w:tc>
      </w:tr>
      <w:tr w:rsidR="004C7857" w14:paraId="38EB0866" w14:textId="77777777">
        <w:tc>
          <w:tcPr>
            <w:tcW w:w="6255" w:type="dxa"/>
            <w:tcBorders>
              <w:top w:val="nil"/>
              <w:left w:val="nil"/>
              <w:bottom w:val="nil"/>
              <w:right w:val="nil"/>
            </w:tcBorders>
            <w:tcMar>
              <w:top w:w="30" w:type="dxa"/>
              <w:left w:w="60" w:type="dxa"/>
              <w:bottom w:w="30" w:type="dxa"/>
              <w:right w:w="60" w:type="dxa"/>
            </w:tcMar>
          </w:tcPr>
          <w:p w14:paraId="5420D27B"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Language of instruction:</w:t>
            </w:r>
          </w:p>
        </w:tc>
        <w:tc>
          <w:tcPr>
            <w:tcW w:w="1290" w:type="dxa"/>
            <w:tcBorders>
              <w:top w:val="nil"/>
              <w:left w:val="nil"/>
              <w:bottom w:val="nil"/>
              <w:right w:val="nil"/>
            </w:tcBorders>
            <w:tcMar>
              <w:top w:w="30" w:type="dxa"/>
              <w:left w:w="60" w:type="dxa"/>
              <w:bottom w:w="30" w:type="dxa"/>
              <w:right w:w="60" w:type="dxa"/>
            </w:tcMar>
          </w:tcPr>
          <w:p w14:paraId="0A37966C" w14:textId="77777777" w:rsidR="004C7857" w:rsidRDefault="004C7857">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30" w:type="dxa"/>
              <w:left w:w="60" w:type="dxa"/>
              <w:bottom w:w="30" w:type="dxa"/>
              <w:right w:w="60" w:type="dxa"/>
            </w:tcMar>
          </w:tcPr>
          <w:p w14:paraId="119269A1" w14:textId="77777777" w:rsidR="004C7857" w:rsidRDefault="004C7857">
            <w:pPr>
              <w:spacing w:line="240" w:lineRule="auto"/>
              <w:jc w:val="center"/>
              <w:rPr>
                <w:rFonts w:ascii="Times New Roman" w:eastAsia="Times New Roman" w:hAnsi="Times New Roman" w:cs="Times New Roman"/>
              </w:rPr>
            </w:pPr>
          </w:p>
        </w:tc>
      </w:tr>
      <w:tr w:rsidR="004C7857" w14:paraId="3A223F5D" w14:textId="77777777">
        <w:tc>
          <w:tcPr>
            <w:tcW w:w="6255" w:type="dxa"/>
            <w:tcBorders>
              <w:top w:val="nil"/>
              <w:left w:val="nil"/>
              <w:bottom w:val="nil"/>
              <w:right w:val="nil"/>
            </w:tcBorders>
            <w:tcMar>
              <w:top w:w="30" w:type="dxa"/>
              <w:left w:w="60" w:type="dxa"/>
              <w:bottom w:w="30" w:type="dxa"/>
              <w:right w:w="60" w:type="dxa"/>
            </w:tcMar>
          </w:tcPr>
          <w:p w14:paraId="2BAE12C3"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Russian</w:t>
            </w:r>
          </w:p>
        </w:tc>
        <w:tc>
          <w:tcPr>
            <w:tcW w:w="1290" w:type="dxa"/>
            <w:tcBorders>
              <w:top w:val="nil"/>
              <w:left w:val="nil"/>
              <w:bottom w:val="nil"/>
              <w:right w:val="nil"/>
            </w:tcBorders>
            <w:tcMar>
              <w:top w:w="30" w:type="dxa"/>
              <w:left w:w="60" w:type="dxa"/>
              <w:bottom w:w="30" w:type="dxa"/>
              <w:right w:w="60" w:type="dxa"/>
            </w:tcMar>
          </w:tcPr>
          <w:p w14:paraId="50129749"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–0.18***</w:t>
            </w:r>
          </w:p>
        </w:tc>
        <w:tc>
          <w:tcPr>
            <w:tcW w:w="1395" w:type="dxa"/>
            <w:tcBorders>
              <w:top w:val="nil"/>
              <w:left w:val="nil"/>
              <w:bottom w:val="nil"/>
              <w:right w:val="nil"/>
            </w:tcBorders>
            <w:tcMar>
              <w:top w:w="30" w:type="dxa"/>
              <w:left w:w="60" w:type="dxa"/>
              <w:bottom w:w="30" w:type="dxa"/>
              <w:right w:w="60" w:type="dxa"/>
            </w:tcMar>
          </w:tcPr>
          <w:p w14:paraId="74429A31"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(0.04)</w:t>
            </w:r>
          </w:p>
        </w:tc>
      </w:tr>
      <w:tr w:rsidR="004C7857" w14:paraId="10CDFA53" w14:textId="77777777">
        <w:tc>
          <w:tcPr>
            <w:tcW w:w="6255" w:type="dxa"/>
            <w:tcBorders>
              <w:top w:val="nil"/>
              <w:left w:val="nil"/>
              <w:bottom w:val="nil"/>
              <w:right w:val="nil"/>
            </w:tcBorders>
            <w:tcMar>
              <w:top w:w="30" w:type="dxa"/>
              <w:left w:w="60" w:type="dxa"/>
              <w:bottom w:w="30" w:type="dxa"/>
              <w:right w:w="60" w:type="dxa"/>
            </w:tcMar>
          </w:tcPr>
          <w:p w14:paraId="4EE5AC79"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English</w:t>
            </w:r>
          </w:p>
        </w:tc>
        <w:tc>
          <w:tcPr>
            <w:tcW w:w="1290" w:type="dxa"/>
            <w:tcBorders>
              <w:top w:val="nil"/>
              <w:left w:val="nil"/>
              <w:bottom w:val="nil"/>
              <w:right w:val="nil"/>
            </w:tcBorders>
            <w:tcMar>
              <w:top w:w="30" w:type="dxa"/>
              <w:left w:w="60" w:type="dxa"/>
              <w:bottom w:w="30" w:type="dxa"/>
              <w:right w:w="60" w:type="dxa"/>
            </w:tcMar>
          </w:tcPr>
          <w:p w14:paraId="5C16880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1395" w:type="dxa"/>
            <w:tcBorders>
              <w:top w:val="nil"/>
              <w:left w:val="nil"/>
              <w:bottom w:val="nil"/>
              <w:right w:val="nil"/>
            </w:tcBorders>
            <w:tcMar>
              <w:top w:w="30" w:type="dxa"/>
              <w:left w:w="60" w:type="dxa"/>
              <w:bottom w:w="30" w:type="dxa"/>
              <w:right w:w="60" w:type="dxa"/>
            </w:tcMar>
          </w:tcPr>
          <w:p w14:paraId="676E62B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(0.28)</w:t>
            </w:r>
          </w:p>
        </w:tc>
      </w:tr>
      <w:tr w:rsidR="004C7857" w14:paraId="0CED5CC3" w14:textId="77777777">
        <w:tc>
          <w:tcPr>
            <w:tcW w:w="6255" w:type="dxa"/>
            <w:tcBorders>
              <w:top w:val="nil"/>
              <w:left w:val="nil"/>
              <w:bottom w:val="nil"/>
              <w:right w:val="nil"/>
            </w:tcBorders>
            <w:tcMar>
              <w:top w:w="30" w:type="dxa"/>
              <w:left w:w="60" w:type="dxa"/>
              <w:bottom w:w="30" w:type="dxa"/>
              <w:right w:w="60" w:type="dxa"/>
            </w:tcMar>
          </w:tcPr>
          <w:p w14:paraId="4908EE96"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Other</w:t>
            </w:r>
          </w:p>
        </w:tc>
        <w:tc>
          <w:tcPr>
            <w:tcW w:w="1290" w:type="dxa"/>
            <w:tcBorders>
              <w:top w:val="nil"/>
              <w:left w:val="nil"/>
              <w:bottom w:val="nil"/>
              <w:right w:val="nil"/>
            </w:tcBorders>
            <w:tcMar>
              <w:top w:w="30" w:type="dxa"/>
              <w:left w:w="60" w:type="dxa"/>
              <w:bottom w:w="30" w:type="dxa"/>
              <w:right w:w="60" w:type="dxa"/>
            </w:tcMar>
          </w:tcPr>
          <w:p w14:paraId="76B5BF50"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395" w:type="dxa"/>
            <w:tcBorders>
              <w:top w:val="nil"/>
              <w:left w:val="nil"/>
              <w:bottom w:val="nil"/>
              <w:right w:val="nil"/>
            </w:tcBorders>
            <w:tcMar>
              <w:top w:w="30" w:type="dxa"/>
              <w:left w:w="60" w:type="dxa"/>
              <w:bottom w:w="30" w:type="dxa"/>
              <w:right w:w="60" w:type="dxa"/>
            </w:tcMar>
          </w:tcPr>
          <w:p w14:paraId="35796390"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(0.37)</w:t>
            </w:r>
          </w:p>
        </w:tc>
      </w:tr>
      <w:tr w:rsidR="004C7857" w14:paraId="2BD85B36" w14:textId="77777777">
        <w:tc>
          <w:tcPr>
            <w:tcW w:w="6255" w:type="dxa"/>
            <w:tcBorders>
              <w:top w:val="nil"/>
              <w:left w:val="nil"/>
              <w:bottom w:val="nil"/>
              <w:right w:val="nil"/>
            </w:tcBorders>
            <w:tcMar>
              <w:top w:w="30" w:type="dxa"/>
              <w:left w:w="60" w:type="dxa"/>
              <w:bottom w:w="30" w:type="dxa"/>
              <w:right w:w="60" w:type="dxa"/>
            </w:tcMar>
          </w:tcPr>
          <w:p w14:paraId="090C6954"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Family socioeconomic status:</w:t>
            </w:r>
          </w:p>
        </w:tc>
        <w:tc>
          <w:tcPr>
            <w:tcW w:w="1290" w:type="dxa"/>
            <w:tcBorders>
              <w:top w:val="nil"/>
              <w:left w:val="nil"/>
              <w:bottom w:val="nil"/>
              <w:right w:val="nil"/>
            </w:tcBorders>
            <w:tcMar>
              <w:top w:w="30" w:type="dxa"/>
              <w:left w:w="60" w:type="dxa"/>
              <w:bottom w:w="30" w:type="dxa"/>
              <w:right w:w="60" w:type="dxa"/>
            </w:tcMar>
          </w:tcPr>
          <w:p w14:paraId="3C316FBE" w14:textId="77777777" w:rsidR="004C7857" w:rsidRDefault="004C7857">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30" w:type="dxa"/>
              <w:left w:w="60" w:type="dxa"/>
              <w:bottom w:w="30" w:type="dxa"/>
              <w:right w:w="60" w:type="dxa"/>
            </w:tcMar>
          </w:tcPr>
          <w:p w14:paraId="4F9896A7" w14:textId="77777777" w:rsidR="004C7857" w:rsidRDefault="004C7857">
            <w:pPr>
              <w:spacing w:line="240" w:lineRule="auto"/>
              <w:jc w:val="center"/>
              <w:rPr>
                <w:rFonts w:ascii="Times New Roman" w:eastAsia="Times New Roman" w:hAnsi="Times New Roman" w:cs="Times New Roman"/>
              </w:rPr>
            </w:pPr>
          </w:p>
        </w:tc>
      </w:tr>
      <w:tr w:rsidR="004C7857" w14:paraId="179AC099" w14:textId="77777777">
        <w:tc>
          <w:tcPr>
            <w:tcW w:w="6255" w:type="dxa"/>
            <w:tcBorders>
              <w:top w:val="nil"/>
              <w:left w:val="nil"/>
              <w:bottom w:val="nil"/>
              <w:right w:val="nil"/>
            </w:tcBorders>
            <w:tcMar>
              <w:top w:w="30" w:type="dxa"/>
              <w:left w:w="60" w:type="dxa"/>
              <w:bottom w:w="30" w:type="dxa"/>
              <w:right w:w="60" w:type="dxa"/>
            </w:tcMar>
          </w:tcPr>
          <w:p w14:paraId="262FF897"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Has high-speed internet access at home</w:t>
            </w:r>
          </w:p>
        </w:tc>
        <w:tc>
          <w:tcPr>
            <w:tcW w:w="1290" w:type="dxa"/>
            <w:tcBorders>
              <w:top w:val="nil"/>
              <w:left w:val="nil"/>
              <w:bottom w:val="nil"/>
              <w:right w:val="nil"/>
            </w:tcBorders>
            <w:tcMar>
              <w:top w:w="30" w:type="dxa"/>
              <w:left w:w="60" w:type="dxa"/>
              <w:bottom w:w="30" w:type="dxa"/>
              <w:right w:w="60" w:type="dxa"/>
            </w:tcMar>
          </w:tcPr>
          <w:p w14:paraId="196087C2"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395" w:type="dxa"/>
            <w:tcBorders>
              <w:top w:val="nil"/>
              <w:left w:val="nil"/>
              <w:bottom w:val="nil"/>
              <w:right w:val="nil"/>
            </w:tcBorders>
            <w:tcMar>
              <w:top w:w="30" w:type="dxa"/>
              <w:left w:w="60" w:type="dxa"/>
              <w:bottom w:w="30" w:type="dxa"/>
              <w:right w:w="60" w:type="dxa"/>
            </w:tcMar>
          </w:tcPr>
          <w:p w14:paraId="2744DB38"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(0.08)</w:t>
            </w:r>
          </w:p>
        </w:tc>
      </w:tr>
      <w:tr w:rsidR="004C7857" w14:paraId="7A166513" w14:textId="77777777">
        <w:tc>
          <w:tcPr>
            <w:tcW w:w="6255" w:type="dxa"/>
            <w:tcBorders>
              <w:top w:val="nil"/>
              <w:left w:val="nil"/>
              <w:bottom w:val="nil"/>
              <w:right w:val="nil"/>
            </w:tcBorders>
            <w:tcMar>
              <w:top w:w="30" w:type="dxa"/>
              <w:left w:w="60" w:type="dxa"/>
              <w:bottom w:w="30" w:type="dxa"/>
              <w:right w:w="60" w:type="dxa"/>
            </w:tcMar>
          </w:tcPr>
          <w:p w14:paraId="26DB6B7A"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Has smartphone only (no PC / laptop / tablet)</w:t>
            </w:r>
          </w:p>
        </w:tc>
        <w:tc>
          <w:tcPr>
            <w:tcW w:w="1290" w:type="dxa"/>
            <w:tcBorders>
              <w:top w:val="nil"/>
              <w:left w:val="nil"/>
              <w:bottom w:val="nil"/>
              <w:right w:val="nil"/>
            </w:tcBorders>
            <w:tcMar>
              <w:top w:w="30" w:type="dxa"/>
              <w:left w:w="60" w:type="dxa"/>
              <w:bottom w:w="30" w:type="dxa"/>
              <w:right w:w="60" w:type="dxa"/>
            </w:tcMar>
          </w:tcPr>
          <w:p w14:paraId="4AB6DC25"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–0.07</w:t>
            </w:r>
          </w:p>
        </w:tc>
        <w:tc>
          <w:tcPr>
            <w:tcW w:w="1395" w:type="dxa"/>
            <w:tcBorders>
              <w:top w:val="nil"/>
              <w:left w:val="nil"/>
              <w:bottom w:val="nil"/>
              <w:right w:val="nil"/>
            </w:tcBorders>
            <w:tcMar>
              <w:top w:w="30" w:type="dxa"/>
              <w:left w:w="60" w:type="dxa"/>
              <w:bottom w:w="30" w:type="dxa"/>
              <w:right w:w="60" w:type="dxa"/>
            </w:tcMar>
          </w:tcPr>
          <w:p w14:paraId="6428537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(0.07)</w:t>
            </w:r>
          </w:p>
        </w:tc>
      </w:tr>
      <w:tr w:rsidR="004C7857" w14:paraId="49727CBB" w14:textId="77777777">
        <w:tc>
          <w:tcPr>
            <w:tcW w:w="6255" w:type="dxa"/>
            <w:tcBorders>
              <w:top w:val="nil"/>
              <w:left w:val="nil"/>
              <w:bottom w:val="nil"/>
              <w:right w:val="nil"/>
            </w:tcBorders>
            <w:tcMar>
              <w:top w:w="30" w:type="dxa"/>
              <w:left w:w="60" w:type="dxa"/>
              <w:bottom w:w="30" w:type="dxa"/>
              <w:right w:w="60" w:type="dxa"/>
            </w:tcMar>
          </w:tcPr>
          <w:p w14:paraId="4830853C"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Has PC / laptop / tablet</w:t>
            </w:r>
          </w:p>
        </w:tc>
        <w:tc>
          <w:tcPr>
            <w:tcW w:w="1290" w:type="dxa"/>
            <w:tcBorders>
              <w:top w:val="nil"/>
              <w:left w:val="nil"/>
              <w:bottom w:val="nil"/>
              <w:right w:val="nil"/>
            </w:tcBorders>
            <w:tcMar>
              <w:top w:w="30" w:type="dxa"/>
              <w:left w:w="60" w:type="dxa"/>
              <w:bottom w:w="30" w:type="dxa"/>
              <w:right w:w="60" w:type="dxa"/>
            </w:tcMar>
          </w:tcPr>
          <w:p w14:paraId="0874280A"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1395" w:type="dxa"/>
            <w:tcBorders>
              <w:top w:val="nil"/>
              <w:left w:val="nil"/>
              <w:bottom w:val="nil"/>
              <w:right w:val="nil"/>
            </w:tcBorders>
            <w:tcMar>
              <w:top w:w="30" w:type="dxa"/>
              <w:left w:w="60" w:type="dxa"/>
              <w:bottom w:w="30" w:type="dxa"/>
              <w:right w:w="60" w:type="dxa"/>
            </w:tcMar>
          </w:tcPr>
          <w:p w14:paraId="6B30C7E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(0.07)</w:t>
            </w:r>
          </w:p>
        </w:tc>
      </w:tr>
      <w:tr w:rsidR="004C7857" w14:paraId="0B84BF22" w14:textId="77777777">
        <w:tc>
          <w:tcPr>
            <w:tcW w:w="6255" w:type="dxa"/>
            <w:tcBorders>
              <w:top w:val="nil"/>
              <w:left w:val="nil"/>
              <w:bottom w:val="nil"/>
              <w:right w:val="nil"/>
            </w:tcBorders>
            <w:tcMar>
              <w:top w:w="30" w:type="dxa"/>
              <w:left w:w="60" w:type="dxa"/>
              <w:bottom w:w="30" w:type="dxa"/>
              <w:right w:w="60" w:type="dxa"/>
            </w:tcMar>
          </w:tcPr>
          <w:p w14:paraId="4827DD3D"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Family receives government financial assistance</w:t>
            </w:r>
          </w:p>
        </w:tc>
        <w:tc>
          <w:tcPr>
            <w:tcW w:w="1290" w:type="dxa"/>
            <w:tcBorders>
              <w:top w:val="nil"/>
              <w:left w:val="nil"/>
              <w:bottom w:val="nil"/>
              <w:right w:val="nil"/>
            </w:tcBorders>
            <w:tcMar>
              <w:top w:w="30" w:type="dxa"/>
              <w:left w:w="60" w:type="dxa"/>
              <w:bottom w:w="30" w:type="dxa"/>
              <w:right w:w="60" w:type="dxa"/>
            </w:tcMar>
          </w:tcPr>
          <w:p w14:paraId="3C5F35B1"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–0.26</w:t>
            </w:r>
          </w:p>
        </w:tc>
        <w:tc>
          <w:tcPr>
            <w:tcW w:w="1395" w:type="dxa"/>
            <w:tcBorders>
              <w:top w:val="nil"/>
              <w:left w:val="nil"/>
              <w:bottom w:val="nil"/>
              <w:right w:val="nil"/>
            </w:tcBorders>
            <w:tcMar>
              <w:top w:w="30" w:type="dxa"/>
              <w:left w:w="60" w:type="dxa"/>
              <w:bottom w:w="30" w:type="dxa"/>
              <w:right w:w="60" w:type="dxa"/>
            </w:tcMar>
          </w:tcPr>
          <w:p w14:paraId="2B9B9A8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(0.18)</w:t>
            </w:r>
          </w:p>
        </w:tc>
      </w:tr>
      <w:tr w:rsidR="004C7857" w14:paraId="4E179391" w14:textId="77777777">
        <w:tc>
          <w:tcPr>
            <w:tcW w:w="6255" w:type="dxa"/>
            <w:tcBorders>
              <w:top w:val="nil"/>
              <w:left w:val="nil"/>
              <w:bottom w:val="nil"/>
              <w:right w:val="nil"/>
            </w:tcBorders>
            <w:tcMar>
              <w:top w:w="30" w:type="dxa"/>
              <w:left w:w="60" w:type="dxa"/>
              <w:bottom w:w="30" w:type="dxa"/>
              <w:right w:w="60" w:type="dxa"/>
            </w:tcMar>
          </w:tcPr>
          <w:p w14:paraId="7EA53FC2"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Orphan</w:t>
            </w:r>
          </w:p>
        </w:tc>
        <w:tc>
          <w:tcPr>
            <w:tcW w:w="1290" w:type="dxa"/>
            <w:tcBorders>
              <w:top w:val="nil"/>
              <w:left w:val="nil"/>
              <w:bottom w:val="nil"/>
              <w:right w:val="nil"/>
            </w:tcBorders>
            <w:tcMar>
              <w:top w:w="30" w:type="dxa"/>
              <w:left w:w="60" w:type="dxa"/>
              <w:bottom w:w="30" w:type="dxa"/>
              <w:right w:w="60" w:type="dxa"/>
            </w:tcMar>
          </w:tcPr>
          <w:p w14:paraId="248BEF76"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1395" w:type="dxa"/>
            <w:tcBorders>
              <w:top w:val="nil"/>
              <w:left w:val="nil"/>
              <w:bottom w:val="nil"/>
              <w:right w:val="nil"/>
            </w:tcBorders>
            <w:tcMar>
              <w:top w:w="30" w:type="dxa"/>
              <w:left w:w="60" w:type="dxa"/>
              <w:bottom w:w="30" w:type="dxa"/>
              <w:right w:w="60" w:type="dxa"/>
            </w:tcMar>
          </w:tcPr>
          <w:p w14:paraId="276E509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(0.29)</w:t>
            </w:r>
          </w:p>
        </w:tc>
      </w:tr>
      <w:tr w:rsidR="004C7857" w14:paraId="58C7197E" w14:textId="77777777">
        <w:tc>
          <w:tcPr>
            <w:tcW w:w="6255" w:type="dxa"/>
            <w:tcBorders>
              <w:top w:val="nil"/>
              <w:left w:val="nil"/>
              <w:bottom w:val="nil"/>
              <w:right w:val="nil"/>
            </w:tcBorders>
            <w:tcMar>
              <w:top w:w="30" w:type="dxa"/>
              <w:left w:w="60" w:type="dxa"/>
              <w:bottom w:w="30" w:type="dxa"/>
              <w:right w:w="60" w:type="dxa"/>
            </w:tcMar>
          </w:tcPr>
          <w:p w14:paraId="7984F72A"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School characteristics:</w:t>
            </w:r>
          </w:p>
        </w:tc>
        <w:tc>
          <w:tcPr>
            <w:tcW w:w="1290" w:type="dxa"/>
            <w:tcBorders>
              <w:top w:val="nil"/>
              <w:left w:val="nil"/>
              <w:bottom w:val="nil"/>
              <w:right w:val="nil"/>
            </w:tcBorders>
            <w:tcMar>
              <w:top w:w="30" w:type="dxa"/>
              <w:left w:w="60" w:type="dxa"/>
              <w:bottom w:w="30" w:type="dxa"/>
              <w:right w:w="60" w:type="dxa"/>
            </w:tcMar>
          </w:tcPr>
          <w:p w14:paraId="7D0B101F" w14:textId="77777777" w:rsidR="004C7857" w:rsidRDefault="004C7857">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30" w:type="dxa"/>
              <w:left w:w="60" w:type="dxa"/>
              <w:bottom w:w="30" w:type="dxa"/>
              <w:right w:w="60" w:type="dxa"/>
            </w:tcMar>
          </w:tcPr>
          <w:p w14:paraId="2C767DDC" w14:textId="77777777" w:rsidR="004C7857" w:rsidRDefault="004C7857">
            <w:pPr>
              <w:spacing w:line="240" w:lineRule="auto"/>
              <w:jc w:val="center"/>
              <w:rPr>
                <w:rFonts w:ascii="Times New Roman" w:eastAsia="Times New Roman" w:hAnsi="Times New Roman" w:cs="Times New Roman"/>
              </w:rPr>
            </w:pPr>
          </w:p>
        </w:tc>
      </w:tr>
      <w:tr w:rsidR="004C7857" w14:paraId="468A3510" w14:textId="77777777">
        <w:tc>
          <w:tcPr>
            <w:tcW w:w="6255" w:type="dxa"/>
            <w:tcBorders>
              <w:top w:val="nil"/>
              <w:left w:val="nil"/>
              <w:bottom w:val="nil"/>
              <w:right w:val="nil"/>
            </w:tcBorders>
            <w:tcMar>
              <w:top w:w="30" w:type="dxa"/>
              <w:left w:w="60" w:type="dxa"/>
              <w:bottom w:w="30" w:type="dxa"/>
              <w:right w:w="60" w:type="dxa"/>
            </w:tcMar>
          </w:tcPr>
          <w:p w14:paraId="6929D5EE"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Teacher quality index</w:t>
            </w:r>
          </w:p>
        </w:tc>
        <w:tc>
          <w:tcPr>
            <w:tcW w:w="1290" w:type="dxa"/>
            <w:tcBorders>
              <w:top w:val="nil"/>
              <w:left w:val="nil"/>
              <w:bottom w:val="nil"/>
              <w:right w:val="nil"/>
            </w:tcBorders>
            <w:tcMar>
              <w:top w:w="30" w:type="dxa"/>
              <w:left w:w="60" w:type="dxa"/>
              <w:bottom w:w="30" w:type="dxa"/>
              <w:right w:w="60" w:type="dxa"/>
            </w:tcMar>
          </w:tcPr>
          <w:p w14:paraId="0500FF8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1395" w:type="dxa"/>
            <w:tcBorders>
              <w:top w:val="nil"/>
              <w:left w:val="nil"/>
              <w:bottom w:val="nil"/>
              <w:right w:val="nil"/>
            </w:tcBorders>
            <w:tcMar>
              <w:top w:w="30" w:type="dxa"/>
              <w:left w:w="60" w:type="dxa"/>
              <w:bottom w:w="30" w:type="dxa"/>
              <w:right w:w="60" w:type="dxa"/>
            </w:tcMar>
          </w:tcPr>
          <w:p w14:paraId="12579F62"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(0.44)</w:t>
            </w:r>
          </w:p>
        </w:tc>
      </w:tr>
      <w:tr w:rsidR="004C7857" w14:paraId="2697B2D4" w14:textId="77777777">
        <w:tc>
          <w:tcPr>
            <w:tcW w:w="6255" w:type="dxa"/>
            <w:tcBorders>
              <w:top w:val="nil"/>
              <w:left w:val="nil"/>
              <w:bottom w:val="nil"/>
              <w:right w:val="nil"/>
            </w:tcBorders>
            <w:tcMar>
              <w:top w:w="30" w:type="dxa"/>
              <w:left w:w="60" w:type="dxa"/>
              <w:bottom w:w="30" w:type="dxa"/>
              <w:right w:w="60" w:type="dxa"/>
            </w:tcMar>
          </w:tcPr>
          <w:p w14:paraId="3F228513"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Average number of students per classroom</w:t>
            </w:r>
          </w:p>
        </w:tc>
        <w:tc>
          <w:tcPr>
            <w:tcW w:w="1290" w:type="dxa"/>
            <w:tcBorders>
              <w:top w:val="nil"/>
              <w:left w:val="nil"/>
              <w:bottom w:val="nil"/>
              <w:right w:val="nil"/>
            </w:tcBorders>
            <w:tcMar>
              <w:top w:w="30" w:type="dxa"/>
              <w:left w:w="60" w:type="dxa"/>
              <w:bottom w:w="30" w:type="dxa"/>
              <w:right w:w="60" w:type="dxa"/>
            </w:tcMar>
          </w:tcPr>
          <w:p w14:paraId="2A57F0B6"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395" w:type="dxa"/>
            <w:tcBorders>
              <w:top w:val="nil"/>
              <w:left w:val="nil"/>
              <w:bottom w:val="nil"/>
              <w:right w:val="nil"/>
            </w:tcBorders>
            <w:tcMar>
              <w:top w:w="30" w:type="dxa"/>
              <w:left w:w="60" w:type="dxa"/>
              <w:bottom w:w="30" w:type="dxa"/>
              <w:right w:w="60" w:type="dxa"/>
            </w:tcMar>
          </w:tcPr>
          <w:p w14:paraId="0ABA428C"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w:t>
            </w:r>
          </w:p>
        </w:tc>
      </w:tr>
      <w:tr w:rsidR="004C7857" w14:paraId="0C951E92" w14:textId="77777777">
        <w:tc>
          <w:tcPr>
            <w:tcW w:w="6255" w:type="dxa"/>
            <w:tcBorders>
              <w:top w:val="nil"/>
              <w:left w:val="nil"/>
              <w:bottom w:val="nil"/>
              <w:right w:val="nil"/>
            </w:tcBorders>
            <w:tcMar>
              <w:top w:w="30" w:type="dxa"/>
              <w:left w:w="60" w:type="dxa"/>
              <w:bottom w:w="30" w:type="dxa"/>
              <w:right w:w="60" w:type="dxa"/>
            </w:tcMar>
          </w:tcPr>
          <w:p w14:paraId="24B42ACF"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Total students</w:t>
            </w:r>
          </w:p>
        </w:tc>
        <w:tc>
          <w:tcPr>
            <w:tcW w:w="1290" w:type="dxa"/>
            <w:tcBorders>
              <w:top w:val="nil"/>
              <w:left w:val="nil"/>
              <w:bottom w:val="nil"/>
              <w:right w:val="nil"/>
            </w:tcBorders>
            <w:tcMar>
              <w:top w:w="30" w:type="dxa"/>
              <w:left w:w="60" w:type="dxa"/>
              <w:bottom w:w="30" w:type="dxa"/>
              <w:right w:w="60" w:type="dxa"/>
            </w:tcMar>
          </w:tcPr>
          <w:p w14:paraId="2EDB1F1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395" w:type="dxa"/>
            <w:tcBorders>
              <w:top w:val="nil"/>
              <w:left w:val="nil"/>
              <w:bottom w:val="nil"/>
              <w:right w:val="nil"/>
            </w:tcBorders>
            <w:tcMar>
              <w:top w:w="30" w:type="dxa"/>
              <w:left w:w="60" w:type="dxa"/>
              <w:bottom w:w="30" w:type="dxa"/>
              <w:right w:w="60" w:type="dxa"/>
            </w:tcMar>
          </w:tcPr>
          <w:p w14:paraId="274491A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w:t>
            </w:r>
          </w:p>
        </w:tc>
      </w:tr>
      <w:tr w:rsidR="004C7857" w14:paraId="6C27DE34" w14:textId="77777777">
        <w:tc>
          <w:tcPr>
            <w:tcW w:w="6255" w:type="dxa"/>
            <w:tcBorders>
              <w:top w:val="nil"/>
              <w:left w:val="nil"/>
              <w:bottom w:val="nil"/>
              <w:right w:val="nil"/>
            </w:tcBorders>
            <w:tcMar>
              <w:top w:w="30" w:type="dxa"/>
              <w:left w:w="60" w:type="dxa"/>
              <w:bottom w:w="30" w:type="dxa"/>
              <w:right w:w="60" w:type="dxa"/>
            </w:tcMar>
          </w:tcPr>
          <w:p w14:paraId="4FC28B86"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Total teachers</w:t>
            </w:r>
          </w:p>
        </w:tc>
        <w:tc>
          <w:tcPr>
            <w:tcW w:w="1290" w:type="dxa"/>
            <w:tcBorders>
              <w:top w:val="nil"/>
              <w:left w:val="nil"/>
              <w:bottom w:val="nil"/>
              <w:right w:val="nil"/>
            </w:tcBorders>
            <w:tcMar>
              <w:top w:w="30" w:type="dxa"/>
              <w:left w:w="60" w:type="dxa"/>
              <w:bottom w:w="30" w:type="dxa"/>
              <w:right w:w="60" w:type="dxa"/>
            </w:tcMar>
          </w:tcPr>
          <w:p w14:paraId="756F6E44"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395" w:type="dxa"/>
            <w:tcBorders>
              <w:top w:val="nil"/>
              <w:left w:val="nil"/>
              <w:bottom w:val="nil"/>
              <w:right w:val="nil"/>
            </w:tcBorders>
            <w:tcMar>
              <w:top w:w="30" w:type="dxa"/>
              <w:left w:w="60" w:type="dxa"/>
              <w:bottom w:w="30" w:type="dxa"/>
              <w:right w:w="60" w:type="dxa"/>
            </w:tcMar>
          </w:tcPr>
          <w:p w14:paraId="4EE617B2"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(0.00)</w:t>
            </w:r>
          </w:p>
        </w:tc>
      </w:tr>
      <w:tr w:rsidR="004C7857" w14:paraId="3A261F90" w14:textId="77777777">
        <w:tc>
          <w:tcPr>
            <w:tcW w:w="6255" w:type="dxa"/>
            <w:tcBorders>
              <w:top w:val="nil"/>
              <w:left w:val="nil"/>
              <w:bottom w:val="nil"/>
              <w:right w:val="nil"/>
            </w:tcBorders>
            <w:tcMar>
              <w:top w:w="30" w:type="dxa"/>
              <w:left w:w="60" w:type="dxa"/>
              <w:bottom w:w="30" w:type="dxa"/>
              <w:right w:w="60" w:type="dxa"/>
            </w:tcMar>
          </w:tcPr>
          <w:p w14:paraId="5084693A"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Geographic region:</w:t>
            </w:r>
          </w:p>
        </w:tc>
        <w:tc>
          <w:tcPr>
            <w:tcW w:w="1290" w:type="dxa"/>
            <w:tcBorders>
              <w:top w:val="nil"/>
              <w:left w:val="nil"/>
              <w:bottom w:val="nil"/>
              <w:right w:val="nil"/>
            </w:tcBorders>
            <w:tcMar>
              <w:top w:w="30" w:type="dxa"/>
              <w:left w:w="60" w:type="dxa"/>
              <w:bottom w:w="30" w:type="dxa"/>
              <w:right w:w="60" w:type="dxa"/>
            </w:tcMar>
          </w:tcPr>
          <w:p w14:paraId="02C5A520" w14:textId="77777777" w:rsidR="004C7857" w:rsidRDefault="004C7857">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30" w:type="dxa"/>
              <w:left w:w="60" w:type="dxa"/>
              <w:bottom w:w="30" w:type="dxa"/>
              <w:right w:w="60" w:type="dxa"/>
            </w:tcMar>
          </w:tcPr>
          <w:p w14:paraId="735C61F0" w14:textId="77777777" w:rsidR="004C7857" w:rsidRDefault="004C7857">
            <w:pPr>
              <w:spacing w:line="240" w:lineRule="auto"/>
              <w:jc w:val="center"/>
              <w:rPr>
                <w:rFonts w:ascii="Times New Roman" w:eastAsia="Times New Roman" w:hAnsi="Times New Roman" w:cs="Times New Roman"/>
              </w:rPr>
            </w:pPr>
          </w:p>
        </w:tc>
      </w:tr>
      <w:tr w:rsidR="004C7857" w14:paraId="58F39E02" w14:textId="77777777">
        <w:tc>
          <w:tcPr>
            <w:tcW w:w="6255" w:type="dxa"/>
            <w:tcBorders>
              <w:top w:val="nil"/>
              <w:left w:val="nil"/>
              <w:bottom w:val="nil"/>
              <w:right w:val="nil"/>
            </w:tcBorders>
            <w:tcMar>
              <w:top w:w="30" w:type="dxa"/>
              <w:left w:w="60" w:type="dxa"/>
              <w:bottom w:w="30" w:type="dxa"/>
              <w:right w:w="60" w:type="dxa"/>
            </w:tcMar>
          </w:tcPr>
          <w:p w14:paraId="6395ACF4"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North</w:t>
            </w:r>
          </w:p>
        </w:tc>
        <w:tc>
          <w:tcPr>
            <w:tcW w:w="1290" w:type="dxa"/>
            <w:tcBorders>
              <w:top w:val="nil"/>
              <w:left w:val="nil"/>
              <w:bottom w:val="nil"/>
              <w:right w:val="nil"/>
            </w:tcBorders>
            <w:tcMar>
              <w:top w:w="30" w:type="dxa"/>
              <w:left w:w="60" w:type="dxa"/>
              <w:bottom w:w="30" w:type="dxa"/>
              <w:right w:w="60" w:type="dxa"/>
            </w:tcMar>
          </w:tcPr>
          <w:p w14:paraId="0018FE16"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1395" w:type="dxa"/>
            <w:tcBorders>
              <w:top w:val="nil"/>
              <w:left w:val="nil"/>
              <w:bottom w:val="nil"/>
              <w:right w:val="nil"/>
            </w:tcBorders>
            <w:tcMar>
              <w:top w:w="30" w:type="dxa"/>
              <w:left w:w="60" w:type="dxa"/>
              <w:bottom w:w="30" w:type="dxa"/>
              <w:right w:w="60" w:type="dxa"/>
            </w:tcMar>
          </w:tcPr>
          <w:p w14:paraId="59D8459E"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(0.09)</w:t>
            </w:r>
          </w:p>
        </w:tc>
      </w:tr>
      <w:tr w:rsidR="004C7857" w14:paraId="7635EFE3" w14:textId="77777777">
        <w:tc>
          <w:tcPr>
            <w:tcW w:w="6255" w:type="dxa"/>
            <w:tcBorders>
              <w:top w:val="nil"/>
              <w:left w:val="nil"/>
              <w:bottom w:val="nil"/>
              <w:right w:val="nil"/>
            </w:tcBorders>
            <w:tcMar>
              <w:top w:w="30" w:type="dxa"/>
              <w:left w:w="60" w:type="dxa"/>
              <w:bottom w:w="30" w:type="dxa"/>
              <w:right w:w="60" w:type="dxa"/>
            </w:tcMar>
          </w:tcPr>
          <w:p w14:paraId="15019184"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West</w:t>
            </w:r>
          </w:p>
        </w:tc>
        <w:tc>
          <w:tcPr>
            <w:tcW w:w="1290" w:type="dxa"/>
            <w:tcBorders>
              <w:top w:val="nil"/>
              <w:left w:val="nil"/>
              <w:bottom w:val="nil"/>
              <w:right w:val="nil"/>
            </w:tcBorders>
            <w:tcMar>
              <w:top w:w="30" w:type="dxa"/>
              <w:left w:w="60" w:type="dxa"/>
              <w:bottom w:w="30" w:type="dxa"/>
              <w:right w:w="60" w:type="dxa"/>
            </w:tcMar>
          </w:tcPr>
          <w:p w14:paraId="78381FCF"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–0.20**</w:t>
            </w:r>
          </w:p>
        </w:tc>
        <w:tc>
          <w:tcPr>
            <w:tcW w:w="1395" w:type="dxa"/>
            <w:tcBorders>
              <w:top w:val="nil"/>
              <w:left w:val="nil"/>
              <w:bottom w:val="nil"/>
              <w:right w:val="nil"/>
            </w:tcBorders>
            <w:tcMar>
              <w:top w:w="30" w:type="dxa"/>
              <w:left w:w="60" w:type="dxa"/>
              <w:bottom w:w="30" w:type="dxa"/>
              <w:right w:w="60" w:type="dxa"/>
            </w:tcMar>
          </w:tcPr>
          <w:p w14:paraId="1C294482"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(0.08)</w:t>
            </w:r>
          </w:p>
        </w:tc>
      </w:tr>
      <w:tr w:rsidR="004C7857" w14:paraId="4C29B460" w14:textId="77777777">
        <w:tc>
          <w:tcPr>
            <w:tcW w:w="6255" w:type="dxa"/>
            <w:tcBorders>
              <w:top w:val="nil"/>
              <w:left w:val="nil"/>
              <w:bottom w:val="nil"/>
              <w:right w:val="nil"/>
            </w:tcBorders>
            <w:tcMar>
              <w:top w:w="30" w:type="dxa"/>
              <w:left w:w="60" w:type="dxa"/>
              <w:bottom w:w="30" w:type="dxa"/>
              <w:right w:w="60" w:type="dxa"/>
            </w:tcMar>
          </w:tcPr>
          <w:p w14:paraId="0E40CE4E"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South</w:t>
            </w:r>
          </w:p>
        </w:tc>
        <w:tc>
          <w:tcPr>
            <w:tcW w:w="1290" w:type="dxa"/>
            <w:tcBorders>
              <w:top w:val="nil"/>
              <w:left w:val="nil"/>
              <w:bottom w:val="nil"/>
              <w:right w:val="nil"/>
            </w:tcBorders>
            <w:tcMar>
              <w:top w:w="30" w:type="dxa"/>
              <w:left w:w="60" w:type="dxa"/>
              <w:bottom w:w="30" w:type="dxa"/>
              <w:right w:w="60" w:type="dxa"/>
            </w:tcMar>
          </w:tcPr>
          <w:p w14:paraId="67373D1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–0.29***</w:t>
            </w:r>
          </w:p>
        </w:tc>
        <w:tc>
          <w:tcPr>
            <w:tcW w:w="1395" w:type="dxa"/>
            <w:tcBorders>
              <w:top w:val="nil"/>
              <w:left w:val="nil"/>
              <w:bottom w:val="nil"/>
              <w:right w:val="nil"/>
            </w:tcBorders>
            <w:tcMar>
              <w:top w:w="30" w:type="dxa"/>
              <w:left w:w="60" w:type="dxa"/>
              <w:bottom w:w="30" w:type="dxa"/>
              <w:right w:w="60" w:type="dxa"/>
            </w:tcMar>
          </w:tcPr>
          <w:p w14:paraId="4D302C8B"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(0.09)</w:t>
            </w:r>
          </w:p>
        </w:tc>
      </w:tr>
      <w:tr w:rsidR="004C7857" w14:paraId="0FD4943A" w14:textId="77777777">
        <w:tc>
          <w:tcPr>
            <w:tcW w:w="6255" w:type="dxa"/>
            <w:tcBorders>
              <w:top w:val="nil"/>
              <w:left w:val="nil"/>
              <w:bottom w:val="nil"/>
              <w:right w:val="nil"/>
            </w:tcBorders>
            <w:tcMar>
              <w:top w:w="30" w:type="dxa"/>
              <w:left w:w="60" w:type="dxa"/>
              <w:bottom w:w="30" w:type="dxa"/>
              <w:right w:w="60" w:type="dxa"/>
            </w:tcMar>
          </w:tcPr>
          <w:p w14:paraId="76F9A595" w14:textId="77777777" w:rsidR="004C785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East</w:t>
            </w:r>
          </w:p>
        </w:tc>
        <w:tc>
          <w:tcPr>
            <w:tcW w:w="1290" w:type="dxa"/>
            <w:tcBorders>
              <w:top w:val="nil"/>
              <w:left w:val="nil"/>
              <w:bottom w:val="nil"/>
              <w:right w:val="nil"/>
            </w:tcBorders>
            <w:tcMar>
              <w:top w:w="30" w:type="dxa"/>
              <w:left w:w="60" w:type="dxa"/>
              <w:bottom w:w="30" w:type="dxa"/>
              <w:right w:w="60" w:type="dxa"/>
            </w:tcMar>
          </w:tcPr>
          <w:p w14:paraId="625235BF"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–0.23*</w:t>
            </w:r>
          </w:p>
        </w:tc>
        <w:tc>
          <w:tcPr>
            <w:tcW w:w="1395" w:type="dxa"/>
            <w:tcBorders>
              <w:top w:val="nil"/>
              <w:left w:val="nil"/>
              <w:bottom w:val="nil"/>
              <w:right w:val="nil"/>
            </w:tcBorders>
            <w:tcMar>
              <w:top w:w="30" w:type="dxa"/>
              <w:left w:w="60" w:type="dxa"/>
              <w:bottom w:w="30" w:type="dxa"/>
              <w:right w:w="60" w:type="dxa"/>
            </w:tcMar>
          </w:tcPr>
          <w:p w14:paraId="06E4BA87" w14:textId="77777777" w:rsidR="004C7857"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(0.13)</w:t>
            </w:r>
          </w:p>
        </w:tc>
      </w:tr>
      <w:tr w:rsidR="004C7857" w14:paraId="26E40067" w14:textId="77777777">
        <w:trPr>
          <w:trHeight w:val="280"/>
        </w:trPr>
        <w:tc>
          <w:tcPr>
            <w:tcW w:w="8940" w:type="dxa"/>
            <w:gridSpan w:val="3"/>
            <w:tcBorders>
              <w:top w:val="single" w:sz="8" w:space="0" w:color="000000"/>
              <w:left w:val="nil"/>
              <w:bottom w:val="nil"/>
              <w:right w:val="nil"/>
            </w:tcBorders>
            <w:tcMar>
              <w:top w:w="30" w:type="dxa"/>
              <w:left w:w="60" w:type="dxa"/>
              <w:bottom w:w="30" w:type="dxa"/>
              <w:right w:w="60" w:type="dxa"/>
            </w:tcMar>
          </w:tcPr>
          <w:p w14:paraId="69473DF9" w14:textId="77777777" w:rsidR="004C7857"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Note</w:t>
            </w:r>
            <w:r>
              <w:rPr>
                <w:rFonts w:ascii="Times New Roman" w:eastAsia="Times New Roman" w:hAnsi="Times New Roman" w:cs="Times New Roman"/>
                <w:sz w:val="20"/>
                <w:szCs w:val="20"/>
              </w:rPr>
              <w:t>.</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 xml:space="preserve">Coefficients in percentage points from logistic regression (average marginal effects) with standard errors clustered by school. Reference category: male graduate of Kazakh-language urban public school in Astana/Almaty with ordinary high school diploma. </w:t>
            </w:r>
          </w:p>
          <w:p w14:paraId="6D216F8B" w14:textId="77777777" w:rsidR="004C7857"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 xml:space="preserve"> “Other selective school” category includes all schools with exam-based admissions except for NIS, BIL, </w:t>
            </w:r>
            <w:proofErr w:type="spellStart"/>
            <w:r>
              <w:rPr>
                <w:rFonts w:ascii="Times New Roman" w:eastAsia="Times New Roman" w:hAnsi="Times New Roman" w:cs="Times New Roman"/>
                <w:sz w:val="20"/>
                <w:szCs w:val="20"/>
              </w:rPr>
              <w:t>Fizmat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Daryn</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IQanat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Burabay</w:t>
            </w:r>
            <w:proofErr w:type="spellEnd"/>
            <w:r>
              <w:rPr>
                <w:rFonts w:ascii="Times New Roman" w:eastAsia="Times New Roman" w:hAnsi="Times New Roman" w:cs="Times New Roman"/>
                <w:sz w:val="20"/>
                <w:szCs w:val="20"/>
              </w:rPr>
              <w:t xml:space="preserve"> schools. </w:t>
            </w:r>
          </w:p>
          <w:p w14:paraId="36C10B87" w14:textId="77777777" w:rsidR="004C7857"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p &lt; 0.10. ** p &lt; 0.05. *** p &lt; 0.01.</w:t>
            </w:r>
          </w:p>
        </w:tc>
      </w:tr>
    </w:tbl>
    <w:p w14:paraId="13F03867" w14:textId="77777777" w:rsidR="004C7857" w:rsidRDefault="00000000">
      <w:pPr>
        <w:spacing w:line="240" w:lineRule="auto"/>
        <w:rPr>
          <w:rFonts w:ascii="Times New Roman" w:eastAsia="Times New Roman" w:hAnsi="Times New Roman" w:cs="Times New Roman"/>
          <w:i/>
          <w:iCs/>
          <w:sz w:val="24"/>
          <w:szCs w:val="24"/>
        </w:rPr>
      </w:pPr>
      <w:r>
        <w:br w:type="page"/>
      </w:r>
    </w:p>
    <w:p w14:paraId="01B077C0" w14:textId="77777777" w:rsidR="004C7857"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Figure 1</w:t>
      </w:r>
    </w:p>
    <w:p w14:paraId="69EEBA4B" w14:textId="77777777" w:rsidR="004C7857" w:rsidRDefault="00000000">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Distribution of NU students by secondary school type, 2021–2023 (</w:t>
      </w:r>
      <w:r>
        <w:rPr>
          <w:rFonts w:ascii="Times New Roman" w:eastAsia="Times New Roman" w:hAnsi="Times New Roman" w:cs="Times New Roman"/>
          <w:sz w:val="24"/>
          <w:szCs w:val="24"/>
        </w:rPr>
        <w:t>N</w:t>
      </w:r>
      <w:r>
        <w:rPr>
          <w:rFonts w:ascii="Times New Roman" w:eastAsia="Times New Roman" w:hAnsi="Times New Roman" w:cs="Times New Roman"/>
          <w:i/>
          <w:iCs/>
          <w:sz w:val="24"/>
          <w:szCs w:val="24"/>
        </w:rPr>
        <w:t xml:space="preserve"> = 3,364)</w:t>
      </w:r>
    </w:p>
    <w:p w14:paraId="066DBC46" w14:textId="77777777" w:rsidR="004C785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526D4B4" wp14:editId="2DBACF37">
            <wp:extent cx="5731200" cy="4292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0"/>
                    <a:srcRect/>
                    <a:stretch>
                      <a:fillRect/>
                    </a:stretch>
                  </pic:blipFill>
                  <pic:spPr>
                    <a:xfrm>
                      <a:off x="0" y="0"/>
                      <a:ext cx="5731200" cy="4292600"/>
                    </a:xfrm>
                    <a:prstGeom prst="rect">
                      <a:avLst/>
                    </a:prstGeom>
                    <a:ln/>
                  </pic:spPr>
                </pic:pic>
              </a:graphicData>
            </a:graphic>
          </wp:inline>
        </w:drawing>
      </w:r>
    </w:p>
    <w:p w14:paraId="3ADC788F" w14:textId="77777777" w:rsidR="004C7857" w:rsidRDefault="004C7857">
      <w:pPr>
        <w:spacing w:line="240" w:lineRule="auto"/>
        <w:rPr>
          <w:rFonts w:ascii="Times New Roman" w:eastAsia="Times New Roman" w:hAnsi="Times New Roman" w:cs="Times New Roman"/>
          <w:sz w:val="24"/>
          <w:szCs w:val="24"/>
        </w:rPr>
      </w:pPr>
    </w:p>
    <w:tbl>
      <w:tblPr>
        <w:tblStyle w:val="a2"/>
        <w:tblW w:w="87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30"/>
      </w:tblGrid>
      <w:tr w:rsidR="004C7857" w14:paraId="124DE960" w14:textId="77777777">
        <w:trPr>
          <w:trHeight w:val="509"/>
        </w:trPr>
        <w:tc>
          <w:tcPr>
            <w:tcW w:w="8730" w:type="dxa"/>
            <w:tcBorders>
              <w:top w:val="nil"/>
              <w:left w:val="nil"/>
              <w:bottom w:val="nil"/>
              <w:right w:val="nil"/>
            </w:tcBorders>
            <w:tcMar>
              <w:top w:w="30" w:type="dxa"/>
              <w:left w:w="60" w:type="dxa"/>
              <w:bottom w:w="30" w:type="dxa"/>
              <w:right w:w="60" w:type="dxa"/>
            </w:tcMar>
          </w:tcPr>
          <w:p w14:paraId="3709E974" w14:textId="77777777" w:rsidR="004C7857" w:rsidRDefault="00000000">
            <w:pPr>
              <w:spacing w:line="240" w:lineRule="auto"/>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Note. “Other selective school” category includes all schools with exam-based admissions except for NIS, BIL, </w:t>
            </w:r>
            <w:proofErr w:type="spellStart"/>
            <w:r>
              <w:rPr>
                <w:rFonts w:ascii="Times New Roman" w:eastAsia="Times New Roman" w:hAnsi="Times New Roman" w:cs="Times New Roman"/>
                <w:sz w:val="20"/>
                <w:szCs w:val="20"/>
                <w:highlight w:val="white"/>
              </w:rPr>
              <w:t>Fizmat</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Daryn</w:t>
            </w:r>
            <w:proofErr w:type="spellEnd"/>
            <w:r>
              <w:rPr>
                <w:rFonts w:ascii="Times New Roman" w:eastAsia="Times New Roman" w:hAnsi="Times New Roman" w:cs="Times New Roman"/>
                <w:sz w:val="20"/>
                <w:szCs w:val="20"/>
                <w:highlight w:val="white"/>
              </w:rPr>
              <w:t xml:space="preserve">, and </w:t>
            </w:r>
            <w:proofErr w:type="spellStart"/>
            <w:r>
              <w:rPr>
                <w:rFonts w:ascii="Times New Roman" w:eastAsia="Times New Roman" w:hAnsi="Times New Roman" w:cs="Times New Roman"/>
                <w:sz w:val="20"/>
                <w:szCs w:val="20"/>
                <w:highlight w:val="white"/>
              </w:rPr>
              <w:t>IQanat</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Burabay</w:t>
            </w:r>
            <w:proofErr w:type="spellEnd"/>
            <w:r>
              <w:rPr>
                <w:rFonts w:ascii="Times New Roman" w:eastAsia="Times New Roman" w:hAnsi="Times New Roman" w:cs="Times New Roman"/>
                <w:sz w:val="20"/>
                <w:szCs w:val="20"/>
                <w:highlight w:val="white"/>
              </w:rPr>
              <w:t xml:space="preserve"> schools. </w:t>
            </w:r>
          </w:p>
        </w:tc>
      </w:tr>
    </w:tbl>
    <w:p w14:paraId="51FEC05F" w14:textId="77777777" w:rsidR="004C7857" w:rsidRDefault="004C7857">
      <w:pPr>
        <w:spacing w:line="240" w:lineRule="auto"/>
        <w:rPr>
          <w:rFonts w:ascii="Times New Roman" w:eastAsia="Times New Roman" w:hAnsi="Times New Roman" w:cs="Times New Roman"/>
          <w:sz w:val="24"/>
          <w:szCs w:val="24"/>
        </w:rPr>
      </w:pPr>
    </w:p>
    <w:sectPr w:rsidR="004C7857">
      <w:footerReference w:type="even" r:id="rId61"/>
      <w:footerReference w:type="default" r:id="rId6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05225" w14:textId="77777777" w:rsidR="00E964F4" w:rsidRDefault="00E964F4">
      <w:pPr>
        <w:spacing w:line="240" w:lineRule="auto"/>
      </w:pPr>
      <w:r>
        <w:separator/>
      </w:r>
    </w:p>
  </w:endnote>
  <w:endnote w:type="continuationSeparator" w:id="0">
    <w:p w14:paraId="653B6D88" w14:textId="77777777" w:rsidR="00E964F4" w:rsidRDefault="00E964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embedRegular r:id="rId1" w:fontKey="{E029D41E-892D-C04B-BA3F-3259811D9054}"/>
    <w:embedItalic r:id="rId2" w:fontKey="{156B6674-B3F6-984E-BE86-1DC921713C02}"/>
  </w:font>
  <w:font w:name="Times New Roman">
    <w:panose1 w:val="02020603050405020304"/>
    <w:charset w:val="00"/>
    <w:family w:val="roman"/>
    <w:pitch w:val="variable"/>
    <w:sig w:usb0="E0002EFF" w:usb1="C000785B" w:usb2="00000009" w:usb3="00000000" w:csb0="000001FF" w:csb1="00000000"/>
    <w:embedRegular r:id="rId3" w:fontKey="{974FA556-B6EA-A648-86F2-BC3C5732967A}"/>
    <w:embedBold r:id="rId4" w:fontKey="{07801DCB-EE97-D040-81A4-617174ED7D1D}"/>
    <w:embedItalic r:id="rId5" w:fontKey="{85F302FA-58C5-1545-8F7E-7AA0DEE86000}"/>
    <w:embedBoldItalic r:id="rId6" w:fontKey="{C2A20F62-A92C-3549-8923-611087A8B199}"/>
  </w:font>
  <w:font w:name="Cardo">
    <w:charset w:val="00"/>
    <w:family w:val="auto"/>
    <w:pitch w:val="default"/>
    <w:embedItalic r:id="rId7" w:fontKey="{BA100747-E52B-9946-AAA4-D5F9577052BF}"/>
  </w:font>
  <w:font w:name="Calibri">
    <w:panose1 w:val="020F0502020204030204"/>
    <w:charset w:val="00"/>
    <w:family w:val="swiss"/>
    <w:pitch w:val="variable"/>
    <w:sig w:usb0="E4002EFF" w:usb1="C200247B" w:usb2="00000009" w:usb3="00000000" w:csb0="000001FF" w:csb1="00000000"/>
    <w:embedRegular r:id="rId8" w:fontKey="{28570D50-83A3-8740-8A3D-3194B6060AC4}"/>
  </w:font>
  <w:font w:name="Cambria">
    <w:panose1 w:val="02040503050406030204"/>
    <w:charset w:val="00"/>
    <w:family w:val="roman"/>
    <w:pitch w:val="variable"/>
    <w:sig w:usb0="E00006FF" w:usb1="420024FF" w:usb2="02000000" w:usb3="00000000" w:csb0="0000019F" w:csb1="00000000"/>
    <w:embedRegular r:id="rId9" w:fontKey="{71D6C37C-5FF5-5F44-8B9A-FD5D71CAF2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2ED6" w14:textId="77777777" w:rsidR="004C7857" w:rsidRDefault="00000000">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7C4972B" w14:textId="77777777" w:rsidR="004C7857" w:rsidRDefault="004C7857">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ED0F" w14:textId="77777777" w:rsidR="004C7857" w:rsidRDefault="004C7857">
    <w:pPr>
      <w:pBdr>
        <w:top w:val="nil"/>
        <w:left w:val="nil"/>
        <w:bottom w:val="nil"/>
        <w:right w:val="nil"/>
        <w:between w:val="nil"/>
      </w:pBdr>
      <w:tabs>
        <w:tab w:val="center" w:pos="4513"/>
        <w:tab w:val="right" w:pos="9026"/>
      </w:tabs>
      <w:spacing w:line="240" w:lineRule="auto"/>
      <w:jc w:val="center"/>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C7E3E" w14:textId="77777777" w:rsidR="00E964F4" w:rsidRDefault="00E964F4">
      <w:pPr>
        <w:spacing w:line="240" w:lineRule="auto"/>
      </w:pPr>
      <w:r>
        <w:separator/>
      </w:r>
    </w:p>
  </w:footnote>
  <w:footnote w:type="continuationSeparator" w:id="0">
    <w:p w14:paraId="464806D2" w14:textId="77777777" w:rsidR="00E964F4" w:rsidRDefault="00E964F4">
      <w:pPr>
        <w:spacing w:line="240" w:lineRule="auto"/>
      </w:pPr>
      <w:r>
        <w:continuationSeparator/>
      </w:r>
    </w:p>
  </w:footnote>
  <w:footnote w:id="1">
    <w:p w14:paraId="3DCEA3F4" w14:textId="77777777" w:rsidR="004C7857" w:rsidRDefault="00000000">
      <w:pPr>
        <w:spacing w:line="240" w:lineRule="auto"/>
        <w:rPr>
          <w:rFonts w:ascii="Times New Roman" w:eastAsia="Times New Roman" w:hAnsi="Times New Roman" w:cs="Times New Roman"/>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Like other countries of the former Soviet Union, Kazakhstan gained independence after the collapse of the USSR in 1991.</w:t>
      </w:r>
    </w:p>
  </w:footnote>
  <w:footnote w:id="2">
    <w:p w14:paraId="3B748A54"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The languages of instruction in Kazakhstan’s education system are primarily Kazakh and Russian, with most students receiving schooling in one of these two languages. English is a compulsory subject. In some selective and private schools, English is used as a language of instruction for selected subjects or programs.</w:t>
      </w:r>
    </w:p>
  </w:footnote>
  <w:footnote w:id="3">
    <w:p w14:paraId="00EB8552"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Participation in academic competitions (commonly referred to as Olympiads) is formally voluntary but strongly encouraged in selective schools, where high-performing students often receive specialized preparation and coaching. Success in these competitions can yield benefits at multiple levels, including admissions advantages for students, professional recognition for teachers, and enhanced prestige for schools.</w:t>
      </w:r>
    </w:p>
  </w:footnote>
  <w:footnote w:id="4">
    <w:p w14:paraId="6666553B"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 2024, NU introduced an additional admissions pathway based on the Unified National Test; however, this track is available only on a fee-paying basis. </w:t>
      </w:r>
    </w:p>
  </w:footnote>
  <w:footnote w:id="5">
    <w:p w14:paraId="7EE0AC58"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The Nazarbayev University Foundation Year Program (NUFYP) is a one-year preparatory program that equips students with academic and study skills in areas such as English and mathematics. Successful completion provides a pathway to undergraduate admission at Nazarbayev University and satisfies the additional year of schooling often required for study abroad.</w:t>
      </w:r>
    </w:p>
  </w:footnote>
  <w:footnote w:id="6">
    <w:p w14:paraId="0C40B790"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In 2020, NIS received 2.7% of total national education expenditures while educating only 0.4% of the secondary student population (The World Bank, 2023).</w:t>
      </w:r>
    </w:p>
  </w:footnote>
  <w:footnote w:id="7">
    <w:p w14:paraId="29CED213"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Our data do not include international students since they complete their secondary schooling outside Kazakhstan and by default do not appear in the country’s secondary education database. This does not pose threats to internal validity of the study since enrollment in NU during this period was overwhelmingly domestic (Hartley &amp; Ruby, 2025).</w:t>
      </w:r>
    </w:p>
  </w:footnote>
  <w:footnote w:id="8">
    <w:p w14:paraId="7E5DF6AB"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National university enrollment records do not distinguish between NU’s Foundation program and four-year bachelor’s degree programs. As a result, the outcome variable should be interpreted as enrollment at NU broadly rather than as enrollment in a specific NU program pathway.</w:t>
      </w:r>
    </w:p>
  </w:footnote>
  <w:footnote w:id="9">
    <w:p w14:paraId="75CD012B"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Because the data are drawn from administrative records rather than from a survey instrument, the available socioeconomic indicators are limited to those collected by schools for administrative purposes. As a result, more detailed measures of family background—such as parental education, occupation, or household income—are not available in the dataset. The proxy variables used here capture only selected dimensions of household SES, and readers should interpret the SES coefficients with this constraint in mind.</w:t>
      </w:r>
    </w:p>
  </w:footnote>
  <w:footnote w:id="10">
    <w:p w14:paraId="54B2C2FC"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The logistic model ensures predicted probabilities remain bounded within the [0,1] interval and accounts for the nonlinear relationship between predictors and probability, which is particularly relevant given the binary dependent variable.</w:t>
      </w:r>
    </w:p>
  </w:footnote>
  <w:footnote w:id="11">
    <w:p w14:paraId="68EF1AD5" w14:textId="77777777" w:rsidR="004C7857" w:rsidRDefault="00000000">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Additional analyses (available upon request) indicate that approximately 20% of graduates from regular public schools pursued vocational training after high school, compared with only 1% of graduates from selective secondary schools.</w:t>
      </w:r>
    </w:p>
  </w:footnote>
  <w:footnote w:id="12">
    <w:p w14:paraId="37E53CB0" w14:textId="77777777" w:rsidR="004C7857" w:rsidRDefault="00000000">
      <w:pPr>
        <w:spacing w:line="240" w:lineRule="auto"/>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Recent improvements in NU’s international ranking performance (Times Higher Education, 2025) may further reinforce incentives to maintain these selectivity standards as markers of excellence and global competitiveness.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857"/>
    <w:rsid w:val="0009791B"/>
    <w:rsid w:val="003D599A"/>
    <w:rsid w:val="004C7857"/>
    <w:rsid w:val="004D2E51"/>
    <w:rsid w:val="00563599"/>
    <w:rsid w:val="008050DB"/>
    <w:rsid w:val="00892A30"/>
    <w:rsid w:val="009C7830"/>
    <w:rsid w:val="00A84BB3"/>
    <w:rsid w:val="00A91452"/>
    <w:rsid w:val="00AE0E05"/>
    <w:rsid w:val="00C31A3B"/>
    <w:rsid w:val="00E964F4"/>
    <w:rsid w:val="00ED19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4B5EEA6"/>
  <w15:docId w15:val="{036301DC-3CD1-0E4D-9E8D-79661ACC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AE0E05"/>
    <w:rPr>
      <w:color w:val="0000FF" w:themeColor="hyperlink"/>
      <w:u w:val="single"/>
    </w:rPr>
  </w:style>
  <w:style w:type="paragraph" w:styleId="Header">
    <w:name w:val="header"/>
    <w:basedOn w:val="Normal"/>
    <w:link w:val="HeaderChar"/>
    <w:uiPriority w:val="99"/>
    <w:unhideWhenUsed/>
    <w:rsid w:val="00AE0E05"/>
    <w:pPr>
      <w:tabs>
        <w:tab w:val="center" w:pos="4680"/>
        <w:tab w:val="right" w:pos="9360"/>
      </w:tabs>
      <w:spacing w:line="240" w:lineRule="auto"/>
    </w:pPr>
  </w:style>
  <w:style w:type="character" w:customStyle="1" w:styleId="HeaderChar">
    <w:name w:val="Header Char"/>
    <w:basedOn w:val="DefaultParagraphFont"/>
    <w:link w:val="Header"/>
    <w:uiPriority w:val="99"/>
    <w:rsid w:val="00AE0E05"/>
  </w:style>
  <w:style w:type="paragraph" w:styleId="Footer">
    <w:name w:val="footer"/>
    <w:basedOn w:val="Normal"/>
    <w:link w:val="FooterChar"/>
    <w:uiPriority w:val="99"/>
    <w:unhideWhenUsed/>
    <w:rsid w:val="00AE0E05"/>
    <w:pPr>
      <w:tabs>
        <w:tab w:val="center" w:pos="4680"/>
        <w:tab w:val="right" w:pos="9360"/>
      </w:tabs>
      <w:spacing w:line="240" w:lineRule="auto"/>
    </w:pPr>
  </w:style>
  <w:style w:type="character" w:customStyle="1" w:styleId="FooterChar">
    <w:name w:val="Footer Char"/>
    <w:basedOn w:val="DefaultParagraphFont"/>
    <w:link w:val="Footer"/>
    <w:uiPriority w:val="99"/>
    <w:rsid w:val="00AE0E05"/>
  </w:style>
  <w:style w:type="paragraph" w:customStyle="1" w:styleId="pdq2pgselectionanchorcontainer">
    <w:name w:val="pdq2pg_selectionanchorcontainer"/>
    <w:basedOn w:val="Normal"/>
    <w:rsid w:val="004D2E51"/>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Strong">
    <w:name w:val="Strong"/>
    <w:basedOn w:val="DefaultParagraphFont"/>
    <w:uiPriority w:val="22"/>
    <w:qFormat/>
    <w:rsid w:val="004D2E51"/>
    <w:rPr>
      <w:b/>
      <w:bCs/>
    </w:rPr>
  </w:style>
  <w:style w:type="paragraph" w:styleId="NormalWeb">
    <w:name w:val="Normal (Web)"/>
    <w:basedOn w:val="Normal"/>
    <w:uiPriority w:val="99"/>
    <w:unhideWhenUsed/>
    <w:rsid w:val="004D2E51"/>
    <w:pPr>
      <w:spacing w:before="100" w:beforeAutospacing="1" w:after="100" w:afterAutospacing="1" w:line="240" w:lineRule="auto"/>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790135">
      <w:bodyDiv w:val="1"/>
      <w:marLeft w:val="0"/>
      <w:marRight w:val="0"/>
      <w:marTop w:val="0"/>
      <w:marBottom w:val="0"/>
      <w:divBdr>
        <w:top w:val="none" w:sz="0" w:space="0" w:color="auto"/>
        <w:left w:val="none" w:sz="0" w:space="0" w:color="auto"/>
        <w:bottom w:val="none" w:sz="0" w:space="0" w:color="auto"/>
        <w:right w:val="none" w:sz="0" w:space="0" w:color="auto"/>
      </w:divBdr>
    </w:div>
    <w:div w:id="1933783797">
      <w:bodyDiv w:val="1"/>
      <w:marLeft w:val="0"/>
      <w:marRight w:val="0"/>
      <w:marTop w:val="0"/>
      <w:marBottom w:val="0"/>
      <w:divBdr>
        <w:top w:val="none" w:sz="0" w:space="0" w:color="auto"/>
        <w:left w:val="none" w:sz="0" w:space="0" w:color="auto"/>
        <w:bottom w:val="none" w:sz="0" w:space="0" w:color="auto"/>
        <w:right w:val="none" w:sz="0" w:space="0" w:color="auto"/>
      </w:divBdr>
      <w:divsChild>
        <w:div w:id="1593314057">
          <w:marLeft w:val="0"/>
          <w:marRight w:val="0"/>
          <w:marTop w:val="0"/>
          <w:marBottom w:val="0"/>
          <w:divBdr>
            <w:top w:val="none" w:sz="0" w:space="0" w:color="auto"/>
            <w:left w:val="none" w:sz="0" w:space="0" w:color="auto"/>
            <w:bottom w:val="none" w:sz="0" w:space="0" w:color="auto"/>
            <w:right w:val="none" w:sz="0" w:space="0" w:color="auto"/>
          </w:divBdr>
          <w:divsChild>
            <w:div w:id="76555753">
              <w:marLeft w:val="0"/>
              <w:marRight w:val="0"/>
              <w:marTop w:val="0"/>
              <w:marBottom w:val="0"/>
              <w:divBdr>
                <w:top w:val="none" w:sz="0" w:space="0" w:color="auto"/>
                <w:left w:val="none" w:sz="0" w:space="0" w:color="auto"/>
                <w:bottom w:val="none" w:sz="0" w:space="0" w:color="auto"/>
                <w:right w:val="none" w:sz="0" w:space="0" w:color="auto"/>
              </w:divBdr>
              <w:divsChild>
                <w:div w:id="1511488684">
                  <w:marLeft w:val="0"/>
                  <w:marRight w:val="0"/>
                  <w:marTop w:val="0"/>
                  <w:marBottom w:val="0"/>
                  <w:divBdr>
                    <w:top w:val="none" w:sz="0" w:space="0" w:color="auto"/>
                    <w:left w:val="none" w:sz="0" w:space="0" w:color="auto"/>
                    <w:bottom w:val="none" w:sz="0" w:space="0" w:color="auto"/>
                    <w:right w:val="none" w:sz="0" w:space="0" w:color="auto"/>
                  </w:divBdr>
                  <w:divsChild>
                    <w:div w:id="42476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0-8830-2764" TargetMode="External"/><Relationship Id="rId18" Type="http://schemas.openxmlformats.org/officeDocument/2006/relationships/hyperlink" Target="https://doi.org/10.1080/13603108.2022.2063429" TargetMode="External"/><Relationship Id="rId26" Type="http://schemas.openxmlformats.org/officeDocument/2006/relationships/hyperlink" Target="https://doi.org/10.1177/0038040716651676" TargetMode="External"/><Relationship Id="rId39" Type="http://schemas.openxmlformats.org/officeDocument/2006/relationships/hyperlink" Target="https://www.hepi.ac.uk/wp-content/uploads/2019/01/HEPI-Occasional-Paper-19-as-published-Screen.pdf" TargetMode="External"/><Relationship Id="rId21" Type="http://schemas.openxmlformats.org/officeDocument/2006/relationships/hyperlink" Target="https://doi.org/10.1111/j.1468-2273.2007.00343.x" TargetMode="External"/><Relationship Id="rId34" Type="http://schemas.openxmlformats.org/officeDocument/2006/relationships/hyperlink" Target="https://doi.org/10.1016/j.ijer.2024.102413" TargetMode="External"/><Relationship Id="rId42" Type="http://schemas.openxmlformats.org/officeDocument/2006/relationships/hyperlink" Target="https://nu.edu.kz/about/university-achievements/facts-figures/" TargetMode="External"/><Relationship Id="rId47" Type="http://schemas.openxmlformats.org/officeDocument/2006/relationships/hyperlink" Target="https://doi.org/10.1080/01425692.2013.820127" TargetMode="External"/><Relationship Id="rId50" Type="http://schemas.openxmlformats.org/officeDocument/2006/relationships/hyperlink" Target="https://doi.org/10.3102/00346543075003417" TargetMode="External"/><Relationship Id="rId55" Type="http://schemas.openxmlformats.org/officeDocument/2006/relationships/hyperlink" Target="https://www.unesco.org/en/articles/equity-inclusion-and-transformation-higher-education" TargetMode="External"/><Relationship Id="rId63" Type="http://schemas.openxmlformats.org/officeDocument/2006/relationships/fontTable" Target="fontTable.xml"/><Relationship Id="rId7" Type="http://schemas.openxmlformats.org/officeDocument/2006/relationships/hyperlink" Target="https://orcid.org/0009-0005-6323-380X" TargetMode="External"/><Relationship Id="rId2" Type="http://schemas.openxmlformats.org/officeDocument/2006/relationships/settings" Target="settings.xml"/><Relationship Id="rId16" Type="http://schemas.openxmlformats.org/officeDocument/2006/relationships/hyperlink" Target="https://doi.org/10.1111/1468-4446.12021" TargetMode="External"/><Relationship Id="rId29" Type="http://schemas.openxmlformats.org/officeDocument/2006/relationships/hyperlink" Target="https://hdl.handle.net/10419/58239" TargetMode="External"/><Relationship Id="rId11" Type="http://schemas.openxmlformats.org/officeDocument/2006/relationships/hyperlink" Target="https://orcid.org/0000-0002-6787-068X" TargetMode="External"/><Relationship Id="rId24" Type="http://schemas.openxmlformats.org/officeDocument/2006/relationships/hyperlink" Target="https://doi.org/10.3386/w17286" TargetMode="External"/><Relationship Id="rId32" Type="http://schemas.openxmlformats.org/officeDocument/2006/relationships/hyperlink" Target="https://doi.org/10.3102/0091732X09352898" TargetMode="External"/><Relationship Id="rId37" Type="http://schemas.openxmlformats.org/officeDocument/2006/relationships/hyperlink" Target="https://doi.org/10.1080/00131911.2022.2054960" TargetMode="External"/><Relationship Id="rId40" Type="http://schemas.openxmlformats.org/officeDocument/2006/relationships/hyperlink" Target="https://www.hepi.ac.uk/wp-content/uploads/2019/01/HEPI-Occasional-Paper-19-as-published-Screen.pdf" TargetMode="External"/><Relationship Id="rId45" Type="http://schemas.openxmlformats.org/officeDocument/2006/relationships/hyperlink" Target="https://doi.org/10.1787/0c5b793c-en" TargetMode="External"/><Relationship Id="rId53" Type="http://schemas.openxmlformats.org/officeDocument/2006/relationships/hyperlink" Target="https://doi.org/10.1093/esr/jcr092" TargetMode="External"/><Relationship Id="rId58" Type="http://schemas.openxmlformats.org/officeDocument/2006/relationships/hyperlink" Target="https://doi.org/10.1080/02671522.2013.825311" TargetMode="External"/><Relationship Id="rId5" Type="http://schemas.openxmlformats.org/officeDocument/2006/relationships/endnotes" Target="endnotes.xml"/><Relationship Id="rId61" Type="http://schemas.openxmlformats.org/officeDocument/2006/relationships/footer" Target="footer1.xml"/><Relationship Id="rId19" Type="http://schemas.openxmlformats.org/officeDocument/2006/relationships/hyperlink" Target="https://doi.org/10.1080/03057925.2021.1915749" TargetMode="External"/><Relationship Id="rId14" Type="http://schemas.openxmlformats.org/officeDocument/2006/relationships/hyperlink" Target="https://doi.org/10.1177/000312240907400503" TargetMode="External"/><Relationship Id="rId22" Type="http://schemas.openxmlformats.org/officeDocument/2006/relationships/hyperlink" Target="https://doi.org/10.2202/1935-1682.1917" TargetMode="External"/><Relationship Id="rId27" Type="http://schemas.openxmlformats.org/officeDocument/2006/relationships/hyperlink" Target="https://doi.org/10.1007/s11205-021-02649-z" TargetMode="External"/><Relationship Id="rId30" Type="http://schemas.openxmlformats.org/officeDocument/2006/relationships/hyperlink" Target="https://doi.org/10.1080/01425692.2023.2299966" TargetMode="External"/><Relationship Id="rId35" Type="http://schemas.openxmlformats.org/officeDocument/2006/relationships/hyperlink" Target="https://doi.org/10.1108/IJCED-01-2016-0002" TargetMode="External"/><Relationship Id="rId43" Type="http://schemas.openxmlformats.org/officeDocument/2006/relationships/hyperlink" Target="https://doi.org/10.1080/19345747.2019.1652711" TargetMode="External"/><Relationship Id="rId48" Type="http://schemas.openxmlformats.org/officeDocument/2006/relationships/hyperlink" Target="https://cepa.stanford.edu/sites/default/files/race%20income%20%26%20selective%20college%20enrollment%20august%203%202012.pdf" TargetMode="External"/><Relationship Id="rId56" Type="http://schemas.openxmlformats.org/officeDocument/2006/relationships/hyperlink" Target="https://doi.org/10.1177/2212585X231189338" TargetMode="External"/><Relationship Id="rId64" Type="http://schemas.openxmlformats.org/officeDocument/2006/relationships/theme" Target="theme/theme1.xml"/><Relationship Id="rId8" Type="http://schemas.openxmlformats.org/officeDocument/2006/relationships/hyperlink" Target="mailto:aizat_nurshatayeva@brown.edu" TargetMode="External"/><Relationship Id="rId51" Type="http://schemas.openxmlformats.org/officeDocument/2006/relationships/hyperlink" Target="https://doi.org/10.3102/00346543075003417" TargetMode="External"/><Relationship Id="rId3" Type="http://schemas.openxmlformats.org/officeDocument/2006/relationships/webSettings" Target="webSettings.xml"/><Relationship Id="rId12" Type="http://schemas.openxmlformats.org/officeDocument/2006/relationships/hyperlink" Target="mailto:a.pilipenko@taldau.edu.kz" TargetMode="External"/><Relationship Id="rId17" Type="http://schemas.openxmlformats.org/officeDocument/2006/relationships/hyperlink" Target="https://doi.org/10.1007/s10734-021-00755-y" TargetMode="External"/><Relationship Id="rId25" Type="http://schemas.openxmlformats.org/officeDocument/2006/relationships/hyperlink" Target="https://doi.org/10.1146/annurev-soc-060116-053354" TargetMode="External"/><Relationship Id="rId33" Type="http://schemas.openxmlformats.org/officeDocument/2006/relationships/hyperlink" Target="https://doi.org/10.1163/9789004366107_005" TargetMode="External"/><Relationship Id="rId38" Type="http://schemas.openxmlformats.org/officeDocument/2006/relationships/hyperlink" Target="https://doi.org/10.1108/JCED-07-2025-0003" TargetMode="External"/><Relationship Id="rId46" Type="http://schemas.openxmlformats.org/officeDocument/2006/relationships/hyperlink" Target="https://doi.org/10.1111/hequ.12087" TargetMode="External"/><Relationship Id="rId59" Type="http://schemas.openxmlformats.org/officeDocument/2006/relationships/hyperlink" Target="https://etheses.whiterose.ac.uk/id/eprint/23618/1/Students%27%20and%20teachers%27%20experiences%20and%20perceptions%20of%20studying%20in%20BILs_Final.pdf" TargetMode="External"/><Relationship Id="rId20" Type="http://schemas.openxmlformats.org/officeDocument/2006/relationships/hyperlink" Target="https://doi.org/10.1080/03057925.2020.1761294" TargetMode="External"/><Relationship Id="rId41" Type="http://schemas.openxmlformats.org/officeDocument/2006/relationships/hyperlink" Target="https://doi.org/10.1080/03057925.2015.1043237" TargetMode="External"/><Relationship Id="rId54" Type="http://schemas.openxmlformats.org/officeDocument/2006/relationships/hyperlink" Target="https://nu.edu.kz/wp-content/uploads/2025/11/iep_report-final_nu.pdf" TargetMode="External"/><Relationship Id="rId62"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mailto:kanat.baikenov@nu.edu.kz" TargetMode="External"/><Relationship Id="rId15" Type="http://schemas.openxmlformats.org/officeDocument/2006/relationships/hyperlink" Target="https://doi.org/10.1016/j.ijedudev.2025.103441" TargetMode="External"/><Relationship Id="rId23" Type="http://schemas.openxmlformats.org/officeDocument/2006/relationships/hyperlink" Target="https://doi.org/10.2202/1935-1682.1917" TargetMode="External"/><Relationship Id="rId28" Type="http://schemas.openxmlformats.org/officeDocument/2006/relationships/hyperlink" Target="https://doi.org/10.1007/s10734-021-00794-5" TargetMode="External"/><Relationship Id="rId36" Type="http://schemas.openxmlformats.org/officeDocument/2006/relationships/hyperlink" Target="https://doi.org/10.1080/0305764X.2020.1863914" TargetMode="External"/><Relationship Id="rId49" Type="http://schemas.openxmlformats.org/officeDocument/2006/relationships/hyperlink" Target="https://doi.org/10.5070/B88134482" TargetMode="External"/><Relationship Id="rId57" Type="http://schemas.openxmlformats.org/officeDocument/2006/relationships/hyperlink" Target="https://documents1.worldbank.org/curated/en/099057102282440191/pdf/IDU18abfcc0a1106d14eee1ace011ff55c80e795.pdf" TargetMode="External"/><Relationship Id="rId10" Type="http://schemas.openxmlformats.org/officeDocument/2006/relationships/hyperlink" Target="mailto:kuandyk.tleuzhanuly@narxoz.kz" TargetMode="External"/><Relationship Id="rId31" Type="http://schemas.openxmlformats.org/officeDocument/2006/relationships/hyperlink" Target="https://doi.org/10.1016/j.rssm.2015.06.003" TargetMode="External"/><Relationship Id="rId44" Type="http://schemas.openxmlformats.org/officeDocument/2006/relationships/hyperlink" Target="https://www.oecd.org/content/dam/oecd/en/publications/reports/2017/03/higher-education-in-kazakhstan-2017_g1g74634/9789264268531-en.pdf" TargetMode="External"/><Relationship Id="rId52" Type="http://schemas.openxmlformats.org/officeDocument/2006/relationships/hyperlink" Target="https://www.timeshighereducation.com/world-university-rankings/nazarbayev-university" TargetMode="External"/><Relationship Id="rId6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orcid.org/0000-0001-8706-684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9944</Words>
  <Characters>56682</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Aliya Kuzhabekova</cp:lastModifiedBy>
  <cp:revision>2</cp:revision>
  <dcterms:created xsi:type="dcterms:W3CDTF">2026-06-26T15:29:00Z</dcterms:created>
  <dcterms:modified xsi:type="dcterms:W3CDTF">2026-06-26T15:29:00Z</dcterms:modified>
</cp:coreProperties>
</file>